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E7DE9">
      <w:pPr>
        <w:pStyle w:val="10"/>
        <w:keepNext/>
        <w:keepLines/>
        <w:spacing w:after="460"/>
        <w:ind w:firstLine="3420" w:firstLineChars="950"/>
        <w:jc w:val="both"/>
        <w:rPr>
          <w:rFonts w:hint="eastAsia" w:ascii="黑体" w:hAnsi="黑体" w:eastAsia="黑体" w:cs="黑体"/>
          <w:color w:val="000000"/>
        </w:rPr>
      </w:pPr>
      <w:bookmarkStart w:id="0" w:name="bookmark17"/>
      <w:bookmarkStart w:id="1" w:name="bookmark18"/>
      <w:bookmarkStart w:id="2" w:name="bookmark16"/>
      <w:r>
        <w:rPr>
          <w:rFonts w:hint="eastAsia" w:ascii="黑体" w:hAnsi="黑体" w:eastAsia="黑体" w:cs="黑体"/>
          <w:color w:val="000000"/>
        </w:rPr>
        <w:t>广西公立医疗机构</w:t>
      </w:r>
      <w:r>
        <w:rPr>
          <w:rFonts w:hint="eastAsia" w:ascii="黑体" w:hAnsi="黑体" w:eastAsia="黑体" w:cs="黑体"/>
          <w:color w:val="000000"/>
          <w:lang w:eastAsia="zh-CN"/>
        </w:rPr>
        <w:t>自主定价</w:t>
      </w:r>
      <w:r>
        <w:rPr>
          <w:rFonts w:hint="eastAsia" w:ascii="黑体" w:hAnsi="黑体" w:eastAsia="黑体" w:cs="黑体"/>
          <w:color w:val="000000"/>
        </w:rPr>
        <w:t>医疗服务项目价格公示表</w:t>
      </w:r>
      <w:bookmarkEnd w:id="0"/>
      <w:bookmarkEnd w:id="1"/>
      <w:bookmarkEnd w:id="2"/>
    </w:p>
    <w:p w14:paraId="03F06C16">
      <w:pPr>
        <w:widowControl/>
        <w:wordWrap w:val="0"/>
        <w:spacing w:beforeAutospacing="1" w:afterAutospacing="1"/>
        <w:ind w:firstLine="640"/>
        <w:jc w:val="left"/>
        <w:rPr>
          <w:rFonts w:hint="eastAsia" w:ascii="黑体" w:hAnsi="黑体" w:eastAsia="黑体" w:cs="黑体"/>
          <w:color w:val="000000"/>
        </w:rPr>
      </w:pPr>
      <w:r>
        <w:rPr>
          <w:rFonts w:hint="eastAsia" w:ascii="仿宋" w:hAnsi="仿宋" w:eastAsia="仿宋" w:cs="宋体"/>
          <w:color w:val="000000"/>
          <w:kern w:val="0"/>
          <w:sz w:val="32"/>
          <w:szCs w:val="32"/>
        </w:rPr>
        <w:t>根据《自治区医保局关于规范整合产科及麻醉类医疗服务项目价格的通知》（桂医保发〔2025〕23号）文件规定，“亲情陪产”属于自主定价项目，现将项目价格进行公示。具体项目收费情况见下表：</w:t>
      </w:r>
    </w:p>
    <w:p w14:paraId="2C742119">
      <w:pPr>
        <w:pStyle w:val="10"/>
        <w:keepNext/>
        <w:keepLines/>
        <w:spacing w:after="460"/>
        <w:jc w:val="both"/>
        <w:rPr>
          <w:rFonts w:hint="eastAsia" w:ascii="黑体" w:hAnsi="黑体" w:eastAsia="黑体" w:cs="黑体"/>
          <w:color w:val="000000"/>
          <w:sz w:val="24"/>
          <w:szCs w:val="24"/>
          <w:lang w:val="en-US" w:eastAsia="zh-CN"/>
        </w:rPr>
      </w:pPr>
      <w:r>
        <w:rPr>
          <w:rFonts w:hint="eastAsia" w:ascii="黑体" w:hAnsi="黑体" w:eastAsia="黑体" w:cs="黑体"/>
          <w:color w:val="000000"/>
          <w:sz w:val="24"/>
          <w:szCs w:val="24"/>
          <w:lang w:eastAsia="zh-CN"/>
        </w:rPr>
        <w:t>公示单位：河池市第一人民医院</w:t>
      </w:r>
      <w:r>
        <w:rPr>
          <w:rFonts w:hint="eastAsia" w:ascii="黑体" w:hAnsi="黑体" w:eastAsia="黑体" w:cs="黑体"/>
          <w:color w:val="000000"/>
          <w:sz w:val="24"/>
          <w:szCs w:val="24"/>
          <w:lang w:val="en-US" w:eastAsia="zh-CN"/>
        </w:rPr>
        <w:t xml:space="preserve">                                                                      单位：元</w:t>
      </w:r>
    </w:p>
    <w:tbl>
      <w:tblPr>
        <w:tblStyle w:val="4"/>
        <w:tblW w:w="12964" w:type="dxa"/>
        <w:jc w:val="center"/>
        <w:tblLayout w:type="autofit"/>
        <w:tblCellMar>
          <w:top w:w="0" w:type="dxa"/>
          <w:left w:w="0" w:type="dxa"/>
          <w:bottom w:w="0" w:type="dxa"/>
          <w:right w:w="0" w:type="dxa"/>
        </w:tblCellMar>
      </w:tblPr>
      <w:tblGrid>
        <w:gridCol w:w="701"/>
        <w:gridCol w:w="2016"/>
        <w:gridCol w:w="1672"/>
        <w:gridCol w:w="2988"/>
        <w:gridCol w:w="1966"/>
        <w:gridCol w:w="1095"/>
        <w:gridCol w:w="1023"/>
        <w:gridCol w:w="1503"/>
      </w:tblGrid>
      <w:tr w14:paraId="7B7FCB81">
        <w:tblPrEx>
          <w:tblCellMar>
            <w:top w:w="0" w:type="dxa"/>
            <w:left w:w="0" w:type="dxa"/>
            <w:bottom w:w="0" w:type="dxa"/>
            <w:right w:w="0" w:type="dxa"/>
          </w:tblCellMar>
        </w:tblPrEx>
        <w:trPr>
          <w:trHeight w:val="624" w:hRule="atLeast"/>
          <w:jc w:val="center"/>
        </w:trPr>
        <w:tc>
          <w:tcPr>
            <w:tcW w:w="701" w:type="dxa"/>
            <w:vMerge w:val="restart"/>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5683A45">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kern w:val="0"/>
                <w:sz w:val="24"/>
                <w:szCs w:val="24"/>
              </w:rPr>
              <w:t>序号</w:t>
            </w:r>
          </w:p>
        </w:tc>
        <w:tc>
          <w:tcPr>
            <w:tcW w:w="1250"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517E06CE">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color w:val="333333"/>
                <w:kern w:val="0"/>
                <w:sz w:val="24"/>
                <w:szCs w:val="24"/>
              </w:rPr>
              <w:t>国家编码</w:t>
            </w:r>
          </w:p>
        </w:tc>
        <w:tc>
          <w:tcPr>
            <w:tcW w:w="1831"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291FE67D">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color w:val="333333"/>
                <w:kern w:val="0"/>
                <w:sz w:val="24"/>
                <w:szCs w:val="24"/>
              </w:rPr>
              <w:t>项目名称</w:t>
            </w:r>
          </w:p>
        </w:tc>
        <w:tc>
          <w:tcPr>
            <w:tcW w:w="3285"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6A3782C6">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color w:val="333333"/>
                <w:kern w:val="0"/>
                <w:sz w:val="24"/>
                <w:szCs w:val="24"/>
              </w:rPr>
              <w:t>服务产出</w:t>
            </w:r>
          </w:p>
        </w:tc>
        <w:tc>
          <w:tcPr>
            <w:tcW w:w="2130"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01C9C20D">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color w:val="333333"/>
                <w:kern w:val="0"/>
                <w:sz w:val="24"/>
                <w:szCs w:val="24"/>
              </w:rPr>
              <w:t>价格构成</w:t>
            </w:r>
          </w:p>
        </w:tc>
        <w:tc>
          <w:tcPr>
            <w:tcW w:w="1095"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5FC260D4">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color w:val="333333"/>
                <w:kern w:val="0"/>
                <w:sz w:val="24"/>
                <w:szCs w:val="24"/>
              </w:rPr>
              <w:t>计价单位</w:t>
            </w:r>
          </w:p>
        </w:tc>
        <w:tc>
          <w:tcPr>
            <w:tcW w:w="1065"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0F430FA4">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color w:val="333333"/>
                <w:kern w:val="0"/>
                <w:sz w:val="24"/>
                <w:szCs w:val="24"/>
              </w:rPr>
              <w:t>价格(元)</w:t>
            </w:r>
          </w:p>
        </w:tc>
        <w:tc>
          <w:tcPr>
            <w:tcW w:w="1607"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4FD1C077">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color w:val="333333"/>
                <w:kern w:val="0"/>
                <w:sz w:val="24"/>
                <w:szCs w:val="24"/>
              </w:rPr>
              <w:t>计价说明</w:t>
            </w:r>
          </w:p>
        </w:tc>
      </w:tr>
      <w:tr w14:paraId="0C5144AB">
        <w:tblPrEx>
          <w:tblCellMar>
            <w:top w:w="0" w:type="dxa"/>
            <w:left w:w="0" w:type="dxa"/>
            <w:bottom w:w="0" w:type="dxa"/>
            <w:right w:w="0" w:type="dxa"/>
          </w:tblCellMar>
        </w:tblPrEx>
        <w:trPr>
          <w:trHeight w:val="712" w:hRule="atLeast"/>
          <w:jc w:val="center"/>
        </w:trPr>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53F70610">
            <w:pPr>
              <w:widowControl/>
              <w:jc w:val="left"/>
              <w:rPr>
                <w:rFonts w:ascii="微软雅黑" w:hAnsi="微软雅黑" w:eastAsia="微软雅黑" w:cs="宋体"/>
                <w:kern w:val="0"/>
                <w:sz w:val="24"/>
                <w:szCs w:val="24"/>
              </w:rPr>
            </w:pPr>
          </w:p>
        </w:tc>
        <w:tc>
          <w:tcPr>
            <w:tcW w:w="0" w:type="auto"/>
            <w:vMerge w:val="continue"/>
            <w:tcBorders>
              <w:top w:val="single" w:color="000000" w:sz="8" w:space="0"/>
              <w:left w:val="nil"/>
              <w:bottom w:val="single" w:color="000000" w:sz="8" w:space="0"/>
              <w:right w:val="single" w:color="000000" w:sz="8" w:space="0"/>
            </w:tcBorders>
            <w:vAlign w:val="center"/>
          </w:tcPr>
          <w:p w14:paraId="68916679">
            <w:pPr>
              <w:widowControl/>
              <w:jc w:val="left"/>
              <w:rPr>
                <w:rFonts w:ascii="微软雅黑" w:hAnsi="微软雅黑" w:eastAsia="微软雅黑" w:cs="宋体"/>
                <w:kern w:val="0"/>
                <w:sz w:val="24"/>
                <w:szCs w:val="24"/>
              </w:rPr>
            </w:pPr>
          </w:p>
        </w:tc>
        <w:tc>
          <w:tcPr>
            <w:tcW w:w="0" w:type="auto"/>
            <w:vMerge w:val="continue"/>
            <w:tcBorders>
              <w:top w:val="single" w:color="000000" w:sz="8" w:space="0"/>
              <w:left w:val="nil"/>
              <w:bottom w:val="single" w:color="000000" w:sz="8" w:space="0"/>
              <w:right w:val="single" w:color="000000" w:sz="8" w:space="0"/>
            </w:tcBorders>
            <w:vAlign w:val="center"/>
          </w:tcPr>
          <w:p w14:paraId="3108D6DE">
            <w:pPr>
              <w:widowControl/>
              <w:jc w:val="left"/>
              <w:rPr>
                <w:rFonts w:ascii="微软雅黑" w:hAnsi="微软雅黑" w:eastAsia="微软雅黑" w:cs="宋体"/>
                <w:kern w:val="0"/>
                <w:sz w:val="24"/>
                <w:szCs w:val="24"/>
              </w:rPr>
            </w:pPr>
          </w:p>
        </w:tc>
        <w:tc>
          <w:tcPr>
            <w:tcW w:w="0" w:type="auto"/>
            <w:vMerge w:val="continue"/>
            <w:tcBorders>
              <w:top w:val="single" w:color="000000" w:sz="8" w:space="0"/>
              <w:left w:val="nil"/>
              <w:bottom w:val="single" w:color="000000" w:sz="8" w:space="0"/>
              <w:right w:val="single" w:color="000000" w:sz="8" w:space="0"/>
            </w:tcBorders>
            <w:vAlign w:val="center"/>
          </w:tcPr>
          <w:p w14:paraId="36CA2265">
            <w:pPr>
              <w:widowControl/>
              <w:jc w:val="left"/>
              <w:rPr>
                <w:rFonts w:ascii="微软雅黑" w:hAnsi="微软雅黑" w:eastAsia="微软雅黑" w:cs="宋体"/>
                <w:kern w:val="0"/>
                <w:sz w:val="24"/>
                <w:szCs w:val="24"/>
              </w:rPr>
            </w:pPr>
          </w:p>
        </w:tc>
        <w:tc>
          <w:tcPr>
            <w:tcW w:w="0" w:type="auto"/>
            <w:vMerge w:val="continue"/>
            <w:tcBorders>
              <w:top w:val="single" w:color="000000" w:sz="8" w:space="0"/>
              <w:left w:val="nil"/>
              <w:bottom w:val="single" w:color="000000" w:sz="8" w:space="0"/>
              <w:right w:val="single" w:color="000000" w:sz="8" w:space="0"/>
            </w:tcBorders>
            <w:vAlign w:val="center"/>
          </w:tcPr>
          <w:p w14:paraId="2290A863">
            <w:pPr>
              <w:widowControl/>
              <w:jc w:val="left"/>
              <w:rPr>
                <w:rFonts w:ascii="微软雅黑" w:hAnsi="微软雅黑" w:eastAsia="微软雅黑" w:cs="宋体"/>
                <w:kern w:val="0"/>
                <w:sz w:val="24"/>
                <w:szCs w:val="24"/>
              </w:rPr>
            </w:pPr>
          </w:p>
        </w:tc>
        <w:tc>
          <w:tcPr>
            <w:tcW w:w="0" w:type="auto"/>
            <w:vMerge w:val="continue"/>
            <w:tcBorders>
              <w:top w:val="single" w:color="000000" w:sz="8" w:space="0"/>
              <w:left w:val="nil"/>
              <w:bottom w:val="single" w:color="000000" w:sz="8" w:space="0"/>
              <w:right w:val="single" w:color="000000" w:sz="8" w:space="0"/>
            </w:tcBorders>
            <w:vAlign w:val="center"/>
          </w:tcPr>
          <w:p w14:paraId="3275675E">
            <w:pPr>
              <w:widowControl/>
              <w:jc w:val="left"/>
              <w:rPr>
                <w:rFonts w:ascii="微软雅黑" w:hAnsi="微软雅黑" w:eastAsia="微软雅黑" w:cs="宋体"/>
                <w:kern w:val="0"/>
                <w:sz w:val="24"/>
                <w:szCs w:val="24"/>
              </w:rPr>
            </w:pPr>
          </w:p>
        </w:tc>
        <w:tc>
          <w:tcPr>
            <w:tcW w:w="0" w:type="auto"/>
            <w:vMerge w:val="continue"/>
            <w:tcBorders>
              <w:top w:val="single" w:color="000000" w:sz="8" w:space="0"/>
              <w:left w:val="nil"/>
              <w:bottom w:val="single" w:color="000000" w:sz="8" w:space="0"/>
              <w:right w:val="single" w:color="000000" w:sz="8" w:space="0"/>
            </w:tcBorders>
            <w:vAlign w:val="center"/>
          </w:tcPr>
          <w:p w14:paraId="42297082">
            <w:pPr>
              <w:widowControl/>
              <w:jc w:val="left"/>
              <w:rPr>
                <w:rFonts w:ascii="微软雅黑" w:hAnsi="微软雅黑" w:eastAsia="微软雅黑" w:cs="宋体"/>
                <w:kern w:val="0"/>
                <w:sz w:val="24"/>
                <w:szCs w:val="24"/>
              </w:rPr>
            </w:pPr>
          </w:p>
        </w:tc>
        <w:tc>
          <w:tcPr>
            <w:tcW w:w="0" w:type="auto"/>
            <w:vMerge w:val="continue"/>
            <w:tcBorders>
              <w:top w:val="single" w:color="000000" w:sz="8" w:space="0"/>
              <w:left w:val="nil"/>
              <w:bottom w:val="single" w:color="000000" w:sz="8" w:space="0"/>
              <w:right w:val="single" w:color="000000" w:sz="8" w:space="0"/>
            </w:tcBorders>
            <w:vAlign w:val="center"/>
          </w:tcPr>
          <w:p w14:paraId="64CC0F2B">
            <w:pPr>
              <w:widowControl/>
              <w:jc w:val="left"/>
              <w:rPr>
                <w:rFonts w:ascii="微软雅黑" w:hAnsi="微软雅黑" w:eastAsia="微软雅黑" w:cs="宋体"/>
                <w:kern w:val="0"/>
                <w:sz w:val="24"/>
                <w:szCs w:val="24"/>
              </w:rPr>
            </w:pPr>
          </w:p>
        </w:tc>
      </w:tr>
      <w:tr w14:paraId="21981FD8">
        <w:tblPrEx>
          <w:tblCellMar>
            <w:top w:w="0" w:type="dxa"/>
            <w:left w:w="0" w:type="dxa"/>
            <w:bottom w:w="0" w:type="dxa"/>
            <w:right w:w="0" w:type="dxa"/>
          </w:tblCellMar>
        </w:tblPrEx>
        <w:trPr>
          <w:trHeight w:val="1640" w:hRule="atLeast"/>
          <w:jc w:val="center"/>
        </w:trPr>
        <w:tc>
          <w:tcPr>
            <w:tcW w:w="701"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759D905">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kern w:val="0"/>
                <w:sz w:val="24"/>
                <w:szCs w:val="24"/>
              </w:rPr>
              <w:t>1</w:t>
            </w:r>
          </w:p>
        </w:tc>
        <w:tc>
          <w:tcPr>
            <w:tcW w:w="1250"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00E39DF">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kern w:val="0"/>
                <w:sz w:val="24"/>
                <w:szCs w:val="24"/>
              </w:rPr>
              <w:t>013112020110000</w:t>
            </w:r>
          </w:p>
        </w:tc>
        <w:tc>
          <w:tcPr>
            <w:tcW w:w="1831"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18D8C83">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kern w:val="0"/>
                <w:sz w:val="24"/>
                <w:szCs w:val="24"/>
              </w:rPr>
              <w:t>亲情陪产</w:t>
            </w:r>
          </w:p>
        </w:tc>
        <w:tc>
          <w:tcPr>
            <w:tcW w:w="328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9E60C69">
            <w:pPr>
              <w:widowControl/>
              <w:spacing w:beforeAutospacing="1" w:afterAutospacing="1"/>
              <w:jc w:val="left"/>
              <w:textAlignment w:val="center"/>
              <w:rPr>
                <w:rFonts w:ascii="微软雅黑" w:hAnsi="微软雅黑" w:eastAsia="微软雅黑" w:cs="宋体"/>
                <w:kern w:val="0"/>
                <w:sz w:val="24"/>
                <w:szCs w:val="24"/>
              </w:rPr>
            </w:pPr>
            <w:r>
              <w:rPr>
                <w:rFonts w:hint="eastAsia" w:ascii="宋体" w:hAnsi="宋体" w:eastAsia="宋体" w:cs="宋体"/>
                <w:kern w:val="0"/>
                <w:sz w:val="24"/>
                <w:szCs w:val="24"/>
              </w:rPr>
              <w:t>产妇在孕产过程中，由医务人员指导家属进入产房陪同孕产，直至胎儿娩出。</w:t>
            </w:r>
          </w:p>
        </w:tc>
        <w:tc>
          <w:tcPr>
            <w:tcW w:w="2130"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DE972A7">
            <w:pPr>
              <w:widowControl/>
              <w:spacing w:beforeAutospacing="1" w:afterAutospacing="1"/>
              <w:jc w:val="center"/>
              <w:rPr>
                <w:rFonts w:ascii="微软雅黑" w:hAnsi="微软雅黑" w:eastAsia="微软雅黑" w:cs="宋体"/>
                <w:kern w:val="0"/>
                <w:sz w:val="24"/>
                <w:szCs w:val="24"/>
              </w:rPr>
            </w:pPr>
            <w:r>
              <w:rPr>
                <w:rFonts w:hint="eastAsia" w:ascii="宋体" w:hAnsi="宋体" w:eastAsia="宋体" w:cs="宋体"/>
                <w:kern w:val="0"/>
                <w:sz w:val="24"/>
                <w:szCs w:val="24"/>
              </w:rPr>
              <w:t>陪产过程中所需的基本物质资源消耗。</w:t>
            </w:r>
          </w:p>
        </w:tc>
        <w:tc>
          <w:tcPr>
            <w:tcW w:w="1095" w:type="dxa"/>
            <w:tcBorders>
              <w:top w:val="nil"/>
              <w:left w:val="nil"/>
              <w:bottom w:val="single" w:color="000000" w:sz="8" w:space="0"/>
              <w:right w:val="single" w:color="000000" w:sz="8" w:space="0"/>
            </w:tcBorders>
            <w:noWrap/>
            <w:tcMar>
              <w:top w:w="0" w:type="dxa"/>
              <w:left w:w="108" w:type="dxa"/>
              <w:bottom w:w="0" w:type="dxa"/>
              <w:right w:w="108" w:type="dxa"/>
            </w:tcMar>
            <w:vAlign w:val="center"/>
          </w:tcPr>
          <w:p w14:paraId="31F302C2">
            <w:pPr>
              <w:widowControl/>
              <w:spacing w:beforeAutospacing="1" w:afterAutospacing="1"/>
              <w:jc w:val="center"/>
              <w:textAlignment w:val="center"/>
              <w:rPr>
                <w:rFonts w:ascii="微软雅黑" w:hAnsi="微软雅黑" w:eastAsia="微软雅黑" w:cs="宋体"/>
                <w:kern w:val="0"/>
                <w:sz w:val="24"/>
                <w:szCs w:val="24"/>
              </w:rPr>
            </w:pPr>
            <w:r>
              <w:rPr>
                <w:rFonts w:hint="eastAsia" w:ascii="宋体" w:hAnsi="宋体" w:eastAsia="宋体" w:cs="宋体"/>
                <w:kern w:val="0"/>
                <w:sz w:val="24"/>
                <w:szCs w:val="24"/>
              </w:rPr>
              <w:t>次</w:t>
            </w:r>
          </w:p>
        </w:tc>
        <w:tc>
          <w:tcPr>
            <w:tcW w:w="106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DA33B82">
            <w:pPr>
              <w:widowControl/>
              <w:spacing w:beforeAutospacing="1" w:afterAutospacing="1"/>
              <w:jc w:val="center"/>
              <w:textAlignment w:val="center"/>
              <w:rPr>
                <w:rFonts w:hint="default" w:ascii="微软雅黑" w:hAnsi="微软雅黑" w:eastAsia="微软雅黑" w:cs="宋体"/>
                <w:kern w:val="0"/>
                <w:sz w:val="24"/>
                <w:szCs w:val="24"/>
                <w:lang w:val="en-US"/>
              </w:rPr>
            </w:pPr>
            <w:r>
              <w:rPr>
                <w:rFonts w:hint="eastAsia" w:ascii="宋体" w:hAnsi="宋体" w:eastAsia="宋体" w:cs="宋体"/>
                <w:kern w:val="0"/>
                <w:sz w:val="24"/>
                <w:szCs w:val="24"/>
              </w:rPr>
              <w:t>1</w:t>
            </w:r>
            <w:r>
              <w:rPr>
                <w:rFonts w:hint="eastAsia" w:ascii="宋体" w:hAnsi="宋体" w:eastAsia="宋体" w:cs="宋体"/>
                <w:kern w:val="0"/>
                <w:sz w:val="24"/>
                <w:szCs w:val="24"/>
                <w:lang w:val="en-US" w:eastAsia="zh-CN"/>
              </w:rPr>
              <w:t>35</w:t>
            </w:r>
          </w:p>
        </w:tc>
        <w:tc>
          <w:tcPr>
            <w:tcW w:w="1607"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6CE5120">
            <w:pPr>
              <w:widowControl/>
              <w:spacing w:beforeAutospacing="1" w:afterAutospacing="1"/>
              <w:jc w:val="center"/>
              <w:rPr>
                <w:rFonts w:ascii="微软雅黑" w:hAnsi="微软雅黑" w:eastAsia="微软雅黑" w:cs="宋体"/>
                <w:kern w:val="0"/>
                <w:sz w:val="24"/>
                <w:szCs w:val="24"/>
              </w:rPr>
            </w:pPr>
            <w:r>
              <w:rPr>
                <w:rFonts w:hint="eastAsia" w:ascii="宋体" w:hAnsi="宋体" w:eastAsia="宋体" w:cs="宋体"/>
                <w:color w:val="333333"/>
                <w:kern w:val="0"/>
                <w:sz w:val="24"/>
                <w:szCs w:val="24"/>
              </w:rPr>
              <w:t>无 </w:t>
            </w:r>
          </w:p>
        </w:tc>
      </w:tr>
    </w:tbl>
    <w:p w14:paraId="4A4D624C">
      <w:pPr>
        <w:pStyle w:val="10"/>
        <w:keepNext/>
        <w:keepLines/>
        <w:spacing w:after="460"/>
        <w:jc w:val="both"/>
        <w:rPr>
          <w:rFonts w:hint="eastAsia" w:ascii="黑体" w:hAnsi="黑体" w:eastAsia="黑体" w:cs="黑体"/>
          <w:color w:val="000000"/>
          <w:sz w:val="24"/>
          <w:szCs w:val="24"/>
          <w:lang w:val="en-US" w:eastAsia="zh-CN"/>
        </w:rPr>
      </w:pPr>
    </w:p>
    <w:p w14:paraId="339A46A9">
      <w:pPr>
        <w:pStyle w:val="12"/>
        <w:numPr>
          <w:ilvl w:val="0"/>
          <w:numId w:val="1"/>
        </w:numPr>
        <w:tabs>
          <w:tab w:val="left" w:pos="344"/>
        </w:tabs>
        <w:spacing w:line="569" w:lineRule="exact"/>
        <w:ind w:hanging="300"/>
        <w:jc w:val="left"/>
        <w:rPr>
          <w:sz w:val="24"/>
          <w:szCs w:val="24"/>
        </w:rPr>
      </w:pPr>
      <w:r>
        <w:rPr>
          <w:color w:val="000000"/>
          <w:sz w:val="24"/>
          <w:szCs w:val="24"/>
        </w:rPr>
        <w:t>本医疗机构承诺新增医疗服务项目遵照卫生健康部门关于医疗服务项目的技术规范和管理要求，以及卫生健康部门对新增医疗服务项 目涉及的试剂、耗材和设备等资质及市场准入等资格的相关规定；</w:t>
      </w:r>
    </w:p>
    <w:p w14:paraId="2E83CDB9">
      <w:pPr>
        <w:pStyle w:val="12"/>
        <w:numPr>
          <w:ilvl w:val="0"/>
          <w:numId w:val="1"/>
        </w:numPr>
        <w:tabs>
          <w:tab w:val="left" w:pos="344"/>
        </w:tabs>
        <w:spacing w:line="569" w:lineRule="exact"/>
        <w:ind w:left="0" w:firstLine="0"/>
        <w:jc w:val="left"/>
        <w:rPr>
          <w:sz w:val="24"/>
          <w:szCs w:val="24"/>
        </w:rPr>
      </w:pPr>
      <w:r>
        <w:rPr>
          <w:color w:val="000000"/>
          <w:sz w:val="24"/>
          <w:szCs w:val="24"/>
        </w:rPr>
        <w:t>本医疗机构承诺开展的新增医疗服务项目价格不高于外省（自治区、直辖市）该项目的现行最低价格。</w:t>
      </w:r>
    </w:p>
    <w:p w14:paraId="05F0A0F3">
      <w:pPr>
        <w:pStyle w:val="12"/>
        <w:tabs>
          <w:tab w:val="left" w:pos="4032"/>
          <w:tab w:val="left" w:pos="9230"/>
        </w:tabs>
        <w:spacing w:after="540" w:line="569" w:lineRule="exact"/>
        <w:ind w:left="0" w:firstLine="0"/>
        <w:jc w:val="left"/>
        <w:rPr>
          <w:sz w:val="24"/>
          <w:szCs w:val="24"/>
        </w:rPr>
        <w:sectPr>
          <w:footerReference r:id="rId3" w:type="default"/>
          <w:footerReference r:id="rId4" w:type="even"/>
          <w:pgSz w:w="16840" w:h="11900" w:orient="landscape"/>
          <w:pgMar w:top="1383" w:right="1332" w:bottom="1372" w:left="1346" w:header="1128" w:footer="3" w:gutter="0"/>
          <w:cols w:space="720" w:num="1"/>
          <w:docGrid w:linePitch="360" w:charSpace="0"/>
        </w:sectPr>
      </w:pPr>
      <w:bookmarkStart w:id="3" w:name="bookmark20"/>
      <w:bookmarkEnd w:id="3"/>
      <w:r>
        <w:rPr>
          <w:color w:val="000000"/>
          <w:sz w:val="24"/>
          <w:szCs w:val="24"/>
        </w:rPr>
        <w:t>公示时间：</w:t>
      </w:r>
      <w:r>
        <w:rPr>
          <w:rFonts w:hint="eastAsia"/>
          <w:color w:val="000000"/>
          <w:sz w:val="24"/>
          <w:szCs w:val="24"/>
          <w:lang w:val="en-US" w:eastAsia="zh-CN"/>
        </w:rPr>
        <w:t xml:space="preserve">2026 年 4 月3 日至2026 年 4 月10 日            </w:t>
      </w:r>
      <w:r>
        <w:rPr>
          <w:color w:val="000000"/>
          <w:sz w:val="24"/>
          <w:szCs w:val="24"/>
        </w:rPr>
        <w:t>公示单位电话：</w:t>
      </w:r>
      <w:r>
        <w:rPr>
          <w:rFonts w:hint="eastAsia"/>
          <w:color w:val="000000"/>
          <w:sz w:val="24"/>
          <w:szCs w:val="24"/>
          <w:lang w:val="en-US" w:eastAsia="zh-CN"/>
        </w:rPr>
        <w:t>0778-3216818</w:t>
      </w:r>
      <w:r>
        <w:rPr>
          <w:color w:val="000000"/>
          <w:sz w:val="24"/>
          <w:szCs w:val="24"/>
        </w:rPr>
        <w:tab/>
      </w:r>
      <w:r>
        <w:rPr>
          <w:color w:val="000000"/>
          <w:sz w:val="24"/>
          <w:szCs w:val="24"/>
        </w:rPr>
        <w:t>监督电话：</w:t>
      </w:r>
      <w:r>
        <w:rPr>
          <w:rFonts w:ascii="Times New Roman" w:hAnsi="Times New Roman" w:eastAsia="Times New Roman" w:cs="Times New Roman"/>
          <w:color w:val="000000"/>
          <w:sz w:val="24"/>
          <w:szCs w:val="24"/>
        </w:rPr>
        <w:t>12315</w:t>
      </w:r>
    </w:p>
    <w:p w14:paraId="4A40912A">
      <w:pPr>
        <w:spacing w:line="500" w:lineRule="exact"/>
        <w:rPr>
          <w:rFonts w:asciiTheme="minorEastAsia" w:hAnsiTheme="minorEastAsia"/>
          <w:szCs w:val="21"/>
          <w:lang w:eastAsia="zh-TW"/>
        </w:rPr>
      </w:pPr>
    </w:p>
    <w:p w14:paraId="18E7D14A">
      <w:pPr>
        <w:pStyle w:val="10"/>
        <w:keepNext/>
        <w:keepLines/>
        <w:spacing w:after="460"/>
        <w:ind w:firstLine="2880" w:firstLineChars="800"/>
        <w:jc w:val="both"/>
        <w:rPr>
          <w:rFonts w:hint="eastAsia" w:ascii="黑体" w:hAnsi="黑体" w:eastAsia="黑体" w:cs="黑体"/>
          <w:color w:val="000000"/>
        </w:rPr>
      </w:pPr>
      <w:r>
        <w:rPr>
          <w:rFonts w:hint="eastAsia" w:ascii="黑体" w:hAnsi="黑体" w:eastAsia="黑体" w:cs="黑体"/>
          <w:color w:val="000000"/>
        </w:rPr>
        <w:t>广西公立医疗机构</w:t>
      </w:r>
      <w:r>
        <w:rPr>
          <w:rFonts w:hint="eastAsia" w:ascii="黑体" w:hAnsi="黑体" w:eastAsia="黑体" w:cs="黑体"/>
          <w:color w:val="000000"/>
          <w:lang w:eastAsia="zh-CN"/>
        </w:rPr>
        <w:t>自主定价</w:t>
      </w:r>
      <w:r>
        <w:rPr>
          <w:rFonts w:hint="eastAsia" w:ascii="黑体" w:hAnsi="黑体" w:eastAsia="黑体" w:cs="黑体"/>
          <w:color w:val="000000"/>
        </w:rPr>
        <w:t>医疗服务项目价格公示表</w:t>
      </w:r>
    </w:p>
    <w:p w14:paraId="31F5A66C">
      <w:pPr>
        <w:widowControl/>
        <w:wordWrap w:val="0"/>
        <w:spacing w:beforeAutospacing="1" w:afterAutospacing="1"/>
        <w:ind w:firstLine="640"/>
        <w:jc w:val="left"/>
        <w:rPr>
          <w:rFonts w:hint="eastAsia" w:ascii="黑体" w:hAnsi="黑体" w:eastAsia="黑体" w:cs="黑体"/>
          <w:color w:val="000000"/>
        </w:rPr>
      </w:pPr>
      <w:r>
        <w:rPr>
          <w:rFonts w:hint="eastAsia" w:ascii="仿宋" w:hAnsi="仿宋" w:eastAsia="仿宋" w:cs="宋体"/>
          <w:color w:val="000000"/>
          <w:kern w:val="0"/>
          <w:sz w:val="32"/>
          <w:szCs w:val="32"/>
        </w:rPr>
        <w:t>根据《自治区医保局关于规范整合</w:t>
      </w:r>
      <w:r>
        <w:rPr>
          <w:rFonts w:hint="eastAsia" w:ascii="仿宋" w:hAnsi="仿宋" w:eastAsia="仿宋" w:cs="宋体"/>
          <w:color w:val="000000"/>
          <w:kern w:val="0"/>
          <w:sz w:val="32"/>
          <w:szCs w:val="32"/>
          <w:lang w:eastAsia="zh-CN"/>
        </w:rPr>
        <w:t>放射治疗类、精神治疗类、美容整形</w:t>
      </w:r>
      <w:r>
        <w:rPr>
          <w:rFonts w:hint="eastAsia" w:ascii="仿宋" w:hAnsi="仿宋" w:eastAsia="仿宋" w:cs="宋体"/>
          <w:color w:val="000000"/>
          <w:kern w:val="0"/>
          <w:sz w:val="32"/>
          <w:szCs w:val="32"/>
        </w:rPr>
        <w:t>类医疗服务项目价格的通知》（桂医保发〔2025〕</w:t>
      </w:r>
      <w:r>
        <w:rPr>
          <w:rFonts w:hint="eastAsia" w:ascii="仿宋" w:hAnsi="仿宋" w:eastAsia="仿宋" w:cs="宋体"/>
          <w:color w:val="000000"/>
          <w:kern w:val="0"/>
          <w:sz w:val="32"/>
          <w:szCs w:val="32"/>
          <w:lang w:val="en-US" w:eastAsia="zh-CN"/>
        </w:rPr>
        <w:t>50</w:t>
      </w:r>
      <w:r>
        <w:rPr>
          <w:rFonts w:hint="eastAsia" w:ascii="仿宋" w:hAnsi="仿宋" w:eastAsia="仿宋" w:cs="宋体"/>
          <w:color w:val="000000"/>
          <w:kern w:val="0"/>
          <w:sz w:val="32"/>
          <w:szCs w:val="32"/>
        </w:rPr>
        <w:t>号）文件规定，“减张美容缝合费”</w:t>
      </w:r>
      <w:r>
        <w:rPr>
          <w:rFonts w:hint="eastAsia" w:ascii="仿宋" w:hAnsi="仿宋" w:eastAsia="仿宋" w:cs="宋体"/>
          <w:color w:val="000000"/>
          <w:kern w:val="0"/>
          <w:sz w:val="32"/>
          <w:szCs w:val="32"/>
          <w:lang w:eastAsia="zh-CN"/>
        </w:rPr>
        <w:t>等项目</w:t>
      </w:r>
      <w:r>
        <w:rPr>
          <w:rFonts w:hint="eastAsia" w:ascii="仿宋" w:hAnsi="仿宋" w:eastAsia="仿宋" w:cs="宋体"/>
          <w:color w:val="000000"/>
          <w:kern w:val="0"/>
          <w:sz w:val="32"/>
          <w:szCs w:val="32"/>
        </w:rPr>
        <w:t>属于市场调节价项目，现</w:t>
      </w:r>
      <w:r>
        <w:rPr>
          <w:rFonts w:hint="eastAsia" w:ascii="仿宋" w:hAnsi="仿宋" w:eastAsia="仿宋" w:cs="宋体"/>
          <w:color w:val="000000"/>
          <w:kern w:val="0"/>
          <w:sz w:val="32"/>
          <w:szCs w:val="32"/>
          <w:lang w:eastAsia="zh-CN"/>
        </w:rPr>
        <w:t>我院</w:t>
      </w:r>
      <w:r>
        <w:rPr>
          <w:rFonts w:hint="eastAsia" w:ascii="仿宋" w:hAnsi="仿宋" w:eastAsia="仿宋" w:cs="宋体"/>
          <w:color w:val="000000"/>
          <w:kern w:val="0"/>
          <w:sz w:val="32"/>
          <w:szCs w:val="32"/>
        </w:rPr>
        <w:t>将</w:t>
      </w:r>
      <w:r>
        <w:rPr>
          <w:rFonts w:hint="eastAsia" w:ascii="仿宋" w:hAnsi="仿宋" w:eastAsia="仿宋" w:cs="宋体"/>
          <w:color w:val="000000"/>
          <w:kern w:val="0"/>
          <w:sz w:val="32"/>
          <w:szCs w:val="32"/>
          <w:lang w:eastAsia="zh-CN"/>
        </w:rPr>
        <w:t>制定的</w:t>
      </w:r>
      <w:r>
        <w:rPr>
          <w:rFonts w:hint="eastAsia" w:ascii="仿宋" w:hAnsi="仿宋" w:eastAsia="仿宋" w:cs="宋体"/>
          <w:color w:val="000000"/>
          <w:kern w:val="0"/>
          <w:sz w:val="32"/>
          <w:szCs w:val="32"/>
        </w:rPr>
        <w:t>项目价格进行公示。具体项目收费情况见下表：</w:t>
      </w:r>
    </w:p>
    <w:p w14:paraId="6C2BC22A">
      <w:pPr>
        <w:pStyle w:val="10"/>
        <w:keepNext/>
        <w:keepLines/>
        <w:spacing w:after="460"/>
        <w:ind w:firstLine="960" w:firstLineChars="400"/>
        <w:jc w:val="both"/>
        <w:rPr>
          <w:rFonts w:hint="eastAsia" w:ascii="黑体" w:hAnsi="黑体" w:eastAsia="黑体" w:cs="黑体"/>
          <w:color w:val="000000"/>
          <w:sz w:val="24"/>
          <w:szCs w:val="24"/>
          <w:lang w:val="en-US" w:eastAsia="zh-CN"/>
        </w:rPr>
      </w:pPr>
      <w:r>
        <w:rPr>
          <w:rFonts w:hint="eastAsia" w:ascii="黑体" w:hAnsi="黑体" w:eastAsia="黑体" w:cs="黑体"/>
          <w:color w:val="000000"/>
          <w:sz w:val="24"/>
          <w:szCs w:val="24"/>
          <w:lang w:eastAsia="zh-CN"/>
        </w:rPr>
        <w:t>公示单位：河池市第一人民医院</w:t>
      </w:r>
      <w:r>
        <w:rPr>
          <w:rFonts w:hint="eastAsia" w:ascii="黑体" w:hAnsi="黑体" w:eastAsia="黑体" w:cs="黑体"/>
          <w:color w:val="000000"/>
          <w:sz w:val="24"/>
          <w:szCs w:val="24"/>
          <w:lang w:val="en-US" w:eastAsia="zh-CN"/>
        </w:rPr>
        <w:t xml:space="preserve">                                                                  单位：元</w:t>
      </w:r>
    </w:p>
    <w:tbl>
      <w:tblPr>
        <w:tblStyle w:val="4"/>
        <w:tblW w:w="14819" w:type="dxa"/>
        <w:jc w:val="center"/>
        <w:tblLayout w:type="fixed"/>
        <w:tblCellMar>
          <w:top w:w="0" w:type="dxa"/>
          <w:left w:w="0" w:type="dxa"/>
          <w:bottom w:w="0" w:type="dxa"/>
          <w:right w:w="0" w:type="dxa"/>
        </w:tblCellMar>
      </w:tblPr>
      <w:tblGrid>
        <w:gridCol w:w="639"/>
        <w:gridCol w:w="1162"/>
        <w:gridCol w:w="1234"/>
        <w:gridCol w:w="1779"/>
        <w:gridCol w:w="2517"/>
        <w:gridCol w:w="799"/>
        <w:gridCol w:w="1113"/>
        <w:gridCol w:w="1561"/>
        <w:gridCol w:w="1331"/>
        <w:gridCol w:w="1789"/>
        <w:gridCol w:w="895"/>
      </w:tblGrid>
      <w:tr w14:paraId="4ECB9883">
        <w:tblPrEx>
          <w:tblCellMar>
            <w:top w:w="0" w:type="dxa"/>
            <w:left w:w="0" w:type="dxa"/>
            <w:bottom w:w="0" w:type="dxa"/>
            <w:right w:w="0" w:type="dxa"/>
          </w:tblCellMar>
        </w:tblPrEx>
        <w:trPr>
          <w:trHeight w:val="312" w:hRule="atLeast"/>
          <w:jc w:val="center"/>
        </w:trPr>
        <w:tc>
          <w:tcPr>
            <w:tcW w:w="639" w:type="dxa"/>
            <w:vMerge w:val="restart"/>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A23D71F">
            <w:pPr>
              <w:widowControl/>
              <w:spacing w:beforeAutospacing="1" w:afterAutospacing="1"/>
              <w:jc w:val="center"/>
              <w:textAlignment w:val="center"/>
              <w:rPr>
                <w:rFonts w:ascii="微软雅黑" w:hAnsi="微软雅黑" w:eastAsia="微软雅黑" w:cs="宋体"/>
                <w:b/>
                <w:bCs/>
                <w:kern w:val="0"/>
                <w:sz w:val="24"/>
                <w:szCs w:val="24"/>
              </w:rPr>
            </w:pPr>
            <w:r>
              <w:rPr>
                <w:rFonts w:hint="eastAsia" w:ascii="宋体" w:hAnsi="宋体" w:eastAsia="宋体" w:cs="宋体"/>
                <w:b/>
                <w:bCs/>
                <w:kern w:val="0"/>
                <w:sz w:val="24"/>
                <w:szCs w:val="24"/>
              </w:rPr>
              <w:t>序号</w:t>
            </w:r>
          </w:p>
        </w:tc>
        <w:tc>
          <w:tcPr>
            <w:tcW w:w="1162"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4BAAC32A">
            <w:pPr>
              <w:widowControl/>
              <w:spacing w:beforeAutospacing="1" w:afterAutospacing="1"/>
              <w:jc w:val="center"/>
              <w:textAlignment w:val="center"/>
              <w:rPr>
                <w:rFonts w:ascii="微软雅黑" w:hAnsi="微软雅黑" w:eastAsia="微软雅黑" w:cs="宋体"/>
                <w:b/>
                <w:bCs/>
                <w:kern w:val="0"/>
                <w:sz w:val="24"/>
                <w:szCs w:val="24"/>
              </w:rPr>
            </w:pPr>
            <w:r>
              <w:rPr>
                <w:rFonts w:hint="eastAsia" w:ascii="宋体" w:hAnsi="宋体" w:eastAsia="宋体" w:cs="宋体"/>
                <w:b/>
                <w:bCs/>
                <w:color w:val="333333"/>
                <w:kern w:val="0"/>
                <w:sz w:val="24"/>
                <w:szCs w:val="24"/>
              </w:rPr>
              <w:t>国家编码</w:t>
            </w:r>
          </w:p>
        </w:tc>
        <w:tc>
          <w:tcPr>
            <w:tcW w:w="1234"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46157D43">
            <w:pPr>
              <w:widowControl/>
              <w:spacing w:beforeAutospacing="1" w:afterAutospacing="1"/>
              <w:jc w:val="center"/>
              <w:textAlignment w:val="center"/>
              <w:rPr>
                <w:rFonts w:ascii="微软雅黑" w:hAnsi="微软雅黑" w:eastAsia="微软雅黑" w:cs="宋体"/>
                <w:b/>
                <w:bCs/>
                <w:kern w:val="0"/>
                <w:sz w:val="24"/>
                <w:szCs w:val="24"/>
              </w:rPr>
            </w:pPr>
            <w:r>
              <w:rPr>
                <w:rFonts w:hint="eastAsia" w:ascii="宋体" w:hAnsi="宋体" w:eastAsia="宋体" w:cs="宋体"/>
                <w:b/>
                <w:bCs/>
                <w:color w:val="333333"/>
                <w:kern w:val="0"/>
                <w:sz w:val="24"/>
                <w:szCs w:val="24"/>
              </w:rPr>
              <w:t>项目名称</w:t>
            </w:r>
          </w:p>
        </w:tc>
        <w:tc>
          <w:tcPr>
            <w:tcW w:w="1779"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5678930C">
            <w:pPr>
              <w:widowControl/>
              <w:spacing w:beforeAutospacing="1" w:afterAutospacing="1"/>
              <w:jc w:val="center"/>
              <w:textAlignment w:val="center"/>
              <w:rPr>
                <w:rFonts w:ascii="微软雅黑" w:hAnsi="微软雅黑" w:eastAsia="微软雅黑" w:cs="宋体"/>
                <w:b/>
                <w:bCs/>
                <w:kern w:val="0"/>
                <w:sz w:val="24"/>
                <w:szCs w:val="24"/>
              </w:rPr>
            </w:pPr>
            <w:r>
              <w:rPr>
                <w:rFonts w:hint="eastAsia" w:ascii="宋体" w:hAnsi="宋体" w:eastAsia="宋体" w:cs="宋体"/>
                <w:b/>
                <w:bCs/>
                <w:color w:val="333333"/>
                <w:kern w:val="0"/>
                <w:sz w:val="24"/>
                <w:szCs w:val="24"/>
              </w:rPr>
              <w:t>服务产出</w:t>
            </w:r>
          </w:p>
        </w:tc>
        <w:tc>
          <w:tcPr>
            <w:tcW w:w="2517"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6903F1D3">
            <w:pPr>
              <w:widowControl/>
              <w:spacing w:beforeAutospacing="1" w:afterAutospacing="1"/>
              <w:jc w:val="center"/>
              <w:textAlignment w:val="center"/>
              <w:rPr>
                <w:rFonts w:ascii="微软雅黑" w:hAnsi="微软雅黑" w:eastAsia="微软雅黑" w:cs="宋体"/>
                <w:b/>
                <w:bCs/>
                <w:kern w:val="0"/>
                <w:sz w:val="24"/>
                <w:szCs w:val="24"/>
              </w:rPr>
            </w:pPr>
            <w:r>
              <w:rPr>
                <w:rFonts w:hint="eastAsia" w:ascii="宋体" w:hAnsi="宋体" w:eastAsia="宋体" w:cs="宋体"/>
                <w:b/>
                <w:bCs/>
                <w:color w:val="333333"/>
                <w:kern w:val="0"/>
                <w:sz w:val="24"/>
                <w:szCs w:val="24"/>
              </w:rPr>
              <w:t>价格构成</w:t>
            </w:r>
          </w:p>
        </w:tc>
        <w:tc>
          <w:tcPr>
            <w:tcW w:w="799"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45062C9B">
            <w:pPr>
              <w:widowControl/>
              <w:spacing w:beforeAutospacing="1" w:afterAutospacing="1"/>
              <w:jc w:val="center"/>
              <w:textAlignment w:val="center"/>
              <w:rPr>
                <w:rFonts w:hint="eastAsia" w:ascii="宋体" w:hAnsi="宋体" w:eastAsia="宋体" w:cs="宋体"/>
                <w:b/>
                <w:bCs/>
                <w:kern w:val="0"/>
                <w:sz w:val="24"/>
                <w:szCs w:val="24"/>
              </w:rPr>
            </w:pPr>
            <w:r>
              <w:rPr>
                <w:rFonts w:hint="eastAsia" w:ascii="宋体" w:hAnsi="宋体" w:eastAsia="宋体" w:cs="宋体"/>
                <w:b/>
                <w:bCs/>
                <w:color w:val="333333"/>
                <w:kern w:val="0"/>
                <w:sz w:val="24"/>
                <w:szCs w:val="24"/>
              </w:rPr>
              <w:t>计价单位</w:t>
            </w:r>
          </w:p>
        </w:tc>
        <w:tc>
          <w:tcPr>
            <w:tcW w:w="1113"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3F69ED8F">
            <w:pPr>
              <w:widowControl/>
              <w:spacing w:beforeAutospacing="1" w:afterAutospacing="1"/>
              <w:jc w:val="center"/>
              <w:textAlignment w:val="center"/>
              <w:rPr>
                <w:rFonts w:hint="eastAsia" w:ascii="宋体" w:hAnsi="宋体" w:eastAsia="宋体" w:cs="宋体"/>
                <w:b/>
                <w:bCs/>
                <w:kern w:val="0"/>
                <w:sz w:val="24"/>
                <w:szCs w:val="24"/>
              </w:rPr>
            </w:pPr>
            <w:r>
              <w:rPr>
                <w:rFonts w:hint="eastAsia" w:ascii="宋体" w:hAnsi="宋体" w:eastAsia="宋体" w:cs="宋体"/>
                <w:b/>
                <w:bCs/>
                <w:color w:val="333333"/>
                <w:kern w:val="0"/>
                <w:sz w:val="24"/>
                <w:szCs w:val="24"/>
              </w:rPr>
              <w:t>价格(元)</w:t>
            </w:r>
          </w:p>
        </w:tc>
        <w:tc>
          <w:tcPr>
            <w:tcW w:w="1561"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4565E407">
            <w:pPr>
              <w:widowControl/>
              <w:spacing w:beforeAutospacing="1" w:afterAutospacing="1"/>
              <w:jc w:val="center"/>
              <w:textAlignment w:val="center"/>
              <w:rPr>
                <w:rFonts w:hint="eastAsia" w:ascii="宋体" w:hAnsi="宋体" w:eastAsia="宋体" w:cs="宋体"/>
                <w:b/>
                <w:bCs/>
                <w:kern w:val="0"/>
                <w:sz w:val="24"/>
                <w:szCs w:val="24"/>
              </w:rPr>
            </w:pPr>
            <w:r>
              <w:rPr>
                <w:rFonts w:hint="eastAsia" w:ascii="宋体" w:hAnsi="宋体" w:eastAsia="宋体" w:cs="宋体"/>
                <w:b/>
                <w:bCs/>
                <w:kern w:val="0"/>
                <w:sz w:val="24"/>
                <w:szCs w:val="24"/>
              </w:rPr>
              <w:t>加收项</w:t>
            </w:r>
          </w:p>
        </w:tc>
        <w:tc>
          <w:tcPr>
            <w:tcW w:w="1331"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529C3A40">
            <w:pPr>
              <w:widowControl/>
              <w:spacing w:beforeAutospacing="1" w:afterAutospacing="1"/>
              <w:jc w:val="center"/>
              <w:textAlignment w:val="center"/>
              <w:rPr>
                <w:rFonts w:hint="eastAsia" w:ascii="宋体" w:hAnsi="宋体" w:eastAsia="宋体" w:cs="宋体"/>
                <w:b/>
                <w:bCs/>
                <w:kern w:val="0"/>
                <w:sz w:val="24"/>
                <w:szCs w:val="24"/>
              </w:rPr>
            </w:pPr>
            <w:r>
              <w:rPr>
                <w:rFonts w:hint="eastAsia" w:ascii="宋体" w:hAnsi="宋体" w:eastAsia="宋体" w:cs="宋体"/>
                <w:b/>
                <w:bCs/>
                <w:kern w:val="0"/>
                <w:sz w:val="24"/>
                <w:szCs w:val="24"/>
              </w:rPr>
              <w:t>扩展项</w:t>
            </w:r>
          </w:p>
        </w:tc>
        <w:tc>
          <w:tcPr>
            <w:tcW w:w="1789"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13F7CE55">
            <w:pPr>
              <w:widowControl/>
              <w:spacing w:beforeAutospacing="1" w:afterAutospacing="1"/>
              <w:jc w:val="center"/>
              <w:textAlignment w:val="center"/>
              <w:rPr>
                <w:rFonts w:hint="eastAsia" w:ascii="宋体" w:hAnsi="宋体" w:eastAsia="宋体" w:cs="宋体"/>
                <w:b/>
                <w:bCs/>
                <w:kern w:val="0"/>
                <w:sz w:val="24"/>
                <w:szCs w:val="24"/>
                <w:lang w:eastAsia="zh-CN"/>
              </w:rPr>
            </w:pPr>
            <w:r>
              <w:rPr>
                <w:rFonts w:hint="eastAsia" w:ascii="宋体" w:hAnsi="宋体" w:eastAsia="宋体" w:cs="宋体"/>
                <w:b/>
                <w:bCs/>
                <w:kern w:val="0"/>
                <w:sz w:val="24"/>
                <w:szCs w:val="24"/>
                <w:lang w:eastAsia="zh-CN"/>
              </w:rPr>
              <w:t>计价说明</w:t>
            </w:r>
          </w:p>
        </w:tc>
        <w:tc>
          <w:tcPr>
            <w:tcW w:w="895" w:type="dxa"/>
            <w:vMerge w:val="restart"/>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583BFB1D">
            <w:pPr>
              <w:widowControl/>
              <w:spacing w:beforeAutospacing="1" w:afterAutospacing="1"/>
              <w:jc w:val="center"/>
              <w:textAlignment w:val="center"/>
              <w:rPr>
                <w:rFonts w:hint="eastAsia" w:ascii="宋体" w:hAnsi="宋体" w:eastAsia="宋体" w:cs="宋体"/>
                <w:b/>
                <w:bCs/>
                <w:color w:val="333333"/>
                <w:kern w:val="0"/>
                <w:sz w:val="24"/>
                <w:szCs w:val="24"/>
                <w:lang w:eastAsia="zh-CN"/>
              </w:rPr>
            </w:pPr>
            <w:r>
              <w:rPr>
                <w:rFonts w:hint="eastAsia" w:ascii="宋体" w:hAnsi="宋体" w:eastAsia="宋体" w:cs="宋体"/>
                <w:b/>
                <w:bCs/>
                <w:color w:val="333333"/>
                <w:kern w:val="0"/>
                <w:sz w:val="24"/>
                <w:szCs w:val="24"/>
                <w:lang w:eastAsia="zh-CN"/>
              </w:rPr>
              <w:t>备注</w:t>
            </w:r>
          </w:p>
        </w:tc>
      </w:tr>
      <w:tr w14:paraId="7CA13EA6">
        <w:tblPrEx>
          <w:tblCellMar>
            <w:top w:w="0" w:type="dxa"/>
            <w:left w:w="0" w:type="dxa"/>
            <w:bottom w:w="0" w:type="dxa"/>
            <w:right w:w="0" w:type="dxa"/>
          </w:tblCellMar>
        </w:tblPrEx>
        <w:trPr>
          <w:trHeight w:val="312" w:hRule="atLeast"/>
          <w:jc w:val="center"/>
        </w:trPr>
        <w:tc>
          <w:tcPr>
            <w:tcW w:w="639" w:type="dxa"/>
            <w:vMerge w:val="continue"/>
            <w:tcBorders>
              <w:top w:val="single" w:color="000000" w:sz="8" w:space="0"/>
              <w:left w:val="single" w:color="000000" w:sz="8" w:space="0"/>
              <w:bottom w:val="single" w:color="auto" w:sz="4" w:space="0"/>
              <w:right w:val="single" w:color="000000" w:sz="8" w:space="0"/>
            </w:tcBorders>
            <w:vAlign w:val="center"/>
          </w:tcPr>
          <w:p w14:paraId="146BB4AA">
            <w:pPr>
              <w:widowControl/>
              <w:jc w:val="left"/>
              <w:rPr>
                <w:rFonts w:ascii="微软雅黑" w:hAnsi="微软雅黑" w:eastAsia="微软雅黑" w:cs="宋体"/>
                <w:kern w:val="0"/>
                <w:sz w:val="24"/>
                <w:szCs w:val="24"/>
              </w:rPr>
            </w:pPr>
          </w:p>
        </w:tc>
        <w:tc>
          <w:tcPr>
            <w:tcW w:w="1162" w:type="dxa"/>
            <w:vMerge w:val="continue"/>
            <w:tcBorders>
              <w:top w:val="single" w:color="000000" w:sz="8" w:space="0"/>
              <w:left w:val="nil"/>
              <w:bottom w:val="single" w:color="auto" w:sz="4" w:space="0"/>
              <w:right w:val="single" w:color="000000" w:sz="8" w:space="0"/>
            </w:tcBorders>
            <w:vAlign w:val="center"/>
          </w:tcPr>
          <w:p w14:paraId="3009EA75">
            <w:pPr>
              <w:widowControl/>
              <w:jc w:val="left"/>
              <w:rPr>
                <w:rFonts w:ascii="微软雅黑" w:hAnsi="微软雅黑" w:eastAsia="微软雅黑" w:cs="宋体"/>
                <w:kern w:val="0"/>
                <w:sz w:val="24"/>
                <w:szCs w:val="24"/>
              </w:rPr>
            </w:pPr>
          </w:p>
        </w:tc>
        <w:tc>
          <w:tcPr>
            <w:tcW w:w="1234" w:type="dxa"/>
            <w:vMerge w:val="continue"/>
            <w:tcBorders>
              <w:top w:val="single" w:color="000000" w:sz="8" w:space="0"/>
              <w:left w:val="nil"/>
              <w:bottom w:val="single" w:color="auto" w:sz="4" w:space="0"/>
              <w:right w:val="single" w:color="000000" w:sz="8" w:space="0"/>
            </w:tcBorders>
            <w:vAlign w:val="center"/>
          </w:tcPr>
          <w:p w14:paraId="12AD0CF1">
            <w:pPr>
              <w:widowControl/>
              <w:jc w:val="left"/>
              <w:rPr>
                <w:rFonts w:ascii="微软雅黑" w:hAnsi="微软雅黑" w:eastAsia="微软雅黑" w:cs="宋体"/>
                <w:kern w:val="0"/>
                <w:sz w:val="24"/>
                <w:szCs w:val="24"/>
              </w:rPr>
            </w:pPr>
          </w:p>
        </w:tc>
        <w:tc>
          <w:tcPr>
            <w:tcW w:w="1779" w:type="dxa"/>
            <w:vMerge w:val="continue"/>
            <w:tcBorders>
              <w:top w:val="single" w:color="000000" w:sz="8" w:space="0"/>
              <w:left w:val="nil"/>
              <w:bottom w:val="single" w:color="auto" w:sz="4" w:space="0"/>
              <w:right w:val="single" w:color="000000" w:sz="8" w:space="0"/>
            </w:tcBorders>
            <w:vAlign w:val="center"/>
          </w:tcPr>
          <w:p w14:paraId="6A1B7F3D">
            <w:pPr>
              <w:widowControl/>
              <w:jc w:val="left"/>
              <w:rPr>
                <w:rFonts w:ascii="微软雅黑" w:hAnsi="微软雅黑" w:eastAsia="微软雅黑" w:cs="宋体"/>
                <w:kern w:val="0"/>
                <w:sz w:val="24"/>
                <w:szCs w:val="24"/>
              </w:rPr>
            </w:pPr>
          </w:p>
        </w:tc>
        <w:tc>
          <w:tcPr>
            <w:tcW w:w="2517" w:type="dxa"/>
            <w:vMerge w:val="continue"/>
            <w:tcBorders>
              <w:top w:val="single" w:color="000000" w:sz="8" w:space="0"/>
              <w:left w:val="nil"/>
              <w:bottom w:val="single" w:color="auto" w:sz="4" w:space="0"/>
              <w:right w:val="single" w:color="000000" w:sz="8" w:space="0"/>
            </w:tcBorders>
            <w:vAlign w:val="center"/>
          </w:tcPr>
          <w:p w14:paraId="07BA3B4D">
            <w:pPr>
              <w:widowControl/>
              <w:jc w:val="left"/>
              <w:rPr>
                <w:rFonts w:ascii="微软雅黑" w:hAnsi="微软雅黑" w:eastAsia="微软雅黑" w:cs="宋体"/>
                <w:kern w:val="0"/>
                <w:sz w:val="24"/>
                <w:szCs w:val="24"/>
              </w:rPr>
            </w:pPr>
          </w:p>
        </w:tc>
        <w:tc>
          <w:tcPr>
            <w:tcW w:w="799" w:type="dxa"/>
            <w:vMerge w:val="continue"/>
            <w:tcBorders>
              <w:top w:val="single" w:color="000000" w:sz="8" w:space="0"/>
              <w:left w:val="nil"/>
              <w:bottom w:val="single" w:color="auto" w:sz="4" w:space="0"/>
              <w:right w:val="single" w:color="000000" w:sz="8" w:space="0"/>
            </w:tcBorders>
            <w:vAlign w:val="center"/>
          </w:tcPr>
          <w:p w14:paraId="6C051CD4">
            <w:pPr>
              <w:widowControl/>
              <w:jc w:val="left"/>
              <w:rPr>
                <w:rFonts w:ascii="微软雅黑" w:hAnsi="微软雅黑" w:eastAsia="微软雅黑" w:cs="宋体"/>
                <w:kern w:val="0"/>
                <w:sz w:val="24"/>
                <w:szCs w:val="24"/>
              </w:rPr>
            </w:pPr>
          </w:p>
        </w:tc>
        <w:tc>
          <w:tcPr>
            <w:tcW w:w="1113" w:type="dxa"/>
            <w:vMerge w:val="continue"/>
            <w:tcBorders>
              <w:top w:val="single" w:color="000000" w:sz="8" w:space="0"/>
              <w:left w:val="nil"/>
              <w:bottom w:val="single" w:color="auto" w:sz="4" w:space="0"/>
              <w:right w:val="single" w:color="000000" w:sz="8" w:space="0"/>
            </w:tcBorders>
            <w:vAlign w:val="center"/>
          </w:tcPr>
          <w:p w14:paraId="42F508E6">
            <w:pPr>
              <w:widowControl/>
              <w:jc w:val="left"/>
              <w:rPr>
                <w:rFonts w:ascii="微软雅黑" w:hAnsi="微软雅黑" w:eastAsia="微软雅黑" w:cs="宋体"/>
                <w:kern w:val="0"/>
                <w:sz w:val="24"/>
                <w:szCs w:val="24"/>
              </w:rPr>
            </w:pPr>
          </w:p>
        </w:tc>
        <w:tc>
          <w:tcPr>
            <w:tcW w:w="1561" w:type="dxa"/>
            <w:vMerge w:val="continue"/>
            <w:tcBorders>
              <w:top w:val="single" w:color="000000" w:sz="8" w:space="0"/>
              <w:left w:val="nil"/>
              <w:bottom w:val="single" w:color="auto" w:sz="4" w:space="0"/>
              <w:right w:val="single" w:color="000000" w:sz="8" w:space="0"/>
            </w:tcBorders>
            <w:vAlign w:val="center"/>
          </w:tcPr>
          <w:p w14:paraId="23E6F736">
            <w:pPr>
              <w:widowControl/>
              <w:jc w:val="left"/>
              <w:rPr>
                <w:rFonts w:ascii="微软雅黑" w:hAnsi="微软雅黑" w:eastAsia="微软雅黑" w:cs="宋体"/>
                <w:kern w:val="0"/>
                <w:sz w:val="24"/>
                <w:szCs w:val="24"/>
              </w:rPr>
            </w:pPr>
          </w:p>
        </w:tc>
        <w:tc>
          <w:tcPr>
            <w:tcW w:w="1331" w:type="dxa"/>
            <w:vMerge w:val="continue"/>
            <w:tcBorders>
              <w:top w:val="single" w:color="000000" w:sz="8" w:space="0"/>
              <w:left w:val="nil"/>
              <w:bottom w:val="single" w:color="auto" w:sz="4" w:space="0"/>
              <w:right w:val="single" w:color="000000" w:sz="8" w:space="0"/>
            </w:tcBorders>
            <w:vAlign w:val="center"/>
          </w:tcPr>
          <w:p w14:paraId="7536A88B">
            <w:pPr>
              <w:widowControl/>
              <w:jc w:val="left"/>
              <w:rPr>
                <w:rFonts w:ascii="微软雅黑" w:hAnsi="微软雅黑" w:eastAsia="微软雅黑" w:cs="宋体"/>
                <w:kern w:val="0"/>
                <w:sz w:val="24"/>
                <w:szCs w:val="24"/>
              </w:rPr>
            </w:pPr>
          </w:p>
        </w:tc>
        <w:tc>
          <w:tcPr>
            <w:tcW w:w="1789" w:type="dxa"/>
            <w:vMerge w:val="continue"/>
            <w:tcBorders>
              <w:top w:val="single" w:color="000000" w:sz="8" w:space="0"/>
              <w:left w:val="nil"/>
              <w:bottom w:val="single" w:color="auto" w:sz="4" w:space="0"/>
              <w:right w:val="single" w:color="000000" w:sz="8" w:space="0"/>
            </w:tcBorders>
            <w:vAlign w:val="center"/>
          </w:tcPr>
          <w:p w14:paraId="164C7FC2">
            <w:pPr>
              <w:widowControl/>
              <w:jc w:val="left"/>
              <w:rPr>
                <w:rFonts w:ascii="微软雅黑" w:hAnsi="微软雅黑" w:eastAsia="微软雅黑" w:cs="宋体"/>
                <w:kern w:val="0"/>
                <w:sz w:val="24"/>
                <w:szCs w:val="24"/>
              </w:rPr>
            </w:pPr>
          </w:p>
        </w:tc>
        <w:tc>
          <w:tcPr>
            <w:tcW w:w="895" w:type="dxa"/>
            <w:vMerge w:val="continue"/>
            <w:tcBorders>
              <w:top w:val="single" w:color="000000" w:sz="8" w:space="0"/>
              <w:left w:val="nil"/>
              <w:bottom w:val="single" w:color="auto" w:sz="4" w:space="0"/>
              <w:right w:val="single" w:color="000000" w:sz="8" w:space="0"/>
            </w:tcBorders>
            <w:vAlign w:val="center"/>
          </w:tcPr>
          <w:p w14:paraId="5AF414C3">
            <w:pPr>
              <w:widowControl/>
              <w:jc w:val="left"/>
              <w:rPr>
                <w:rFonts w:ascii="微软雅黑" w:hAnsi="微软雅黑" w:eastAsia="微软雅黑" w:cs="宋体"/>
                <w:kern w:val="0"/>
                <w:sz w:val="24"/>
                <w:szCs w:val="24"/>
              </w:rPr>
            </w:pPr>
          </w:p>
        </w:tc>
      </w:tr>
      <w:tr w14:paraId="1321AC0D">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14:paraId="3D892E3A">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11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EB2462E">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016200000010000T</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3E4316A">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减张美容缝合费</w:t>
            </w:r>
          </w:p>
        </w:tc>
        <w:tc>
          <w:tcPr>
            <w:tcW w:w="17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D1718F9">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通过各种方式实现减张美容缝合。</w:t>
            </w:r>
          </w:p>
        </w:tc>
        <w:tc>
          <w:tcPr>
            <w:tcW w:w="25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6FA699A">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所定价格涵盖止血、切口远端锚定、表皮精细缝合、包扎等步骤所需的人力资源及基本物质资源消耗。</w:t>
            </w:r>
          </w:p>
        </w:tc>
        <w:tc>
          <w:tcPr>
            <w:tcW w:w="79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14:paraId="46256D0D">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每切口</w:t>
            </w:r>
          </w:p>
        </w:tc>
        <w:tc>
          <w:tcPr>
            <w:tcW w:w="11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3362577">
            <w:pPr>
              <w:widowControl/>
              <w:spacing w:beforeAutospacing="1" w:afterAutospacing="1"/>
              <w:jc w:val="center"/>
              <w:textAlignment w:val="center"/>
              <w:rPr>
                <w:rFonts w:hint="eastAsia" w:ascii="宋体" w:hAnsi="宋体" w:eastAsia="宋体" w:cs="宋体"/>
                <w:kern w:val="0"/>
                <w:sz w:val="21"/>
                <w:szCs w:val="21"/>
                <w:lang w:val="en-US"/>
              </w:rPr>
            </w:pPr>
            <w:r>
              <w:rPr>
                <w:rFonts w:hint="eastAsia" w:ascii="宋体" w:hAnsi="宋体" w:eastAsia="宋体" w:cs="宋体"/>
                <w:sz w:val="21"/>
                <w:szCs w:val="21"/>
                <w:lang w:val="en-US" w:eastAsia="zh-CN"/>
              </w:rPr>
              <w:t xml:space="preserve"> 1000元；</w:t>
            </w:r>
            <w:r>
              <w:rPr>
                <w:rFonts w:hint="eastAsia" w:ascii="宋体" w:hAnsi="宋体" w:eastAsia="宋体" w:cs="宋体"/>
                <w:color w:val="000000"/>
                <w:kern w:val="0"/>
                <w:sz w:val="21"/>
                <w:szCs w:val="21"/>
                <w:lang w:val="en-US" w:eastAsia="zh-CN" w:bidi="ar-SA"/>
              </w:rPr>
              <w:t>超过长度150元/厘米；</w:t>
            </w:r>
          </w:p>
        </w:tc>
        <w:tc>
          <w:tcPr>
            <w:tcW w:w="15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0DCF905">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color w:val="333333"/>
                <w:kern w:val="0"/>
                <w:sz w:val="21"/>
                <w:szCs w:val="21"/>
              </w:rPr>
              <w:t> </w:t>
            </w:r>
          </w:p>
        </w:tc>
        <w:tc>
          <w:tcPr>
            <w:tcW w:w="13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40BD6FF">
            <w:pPr>
              <w:widowControl/>
              <w:spacing w:beforeAutospacing="1" w:afterAutospacing="1"/>
              <w:jc w:val="center"/>
              <w:rPr>
                <w:rFonts w:hint="eastAsia" w:ascii="宋体" w:hAnsi="宋体" w:eastAsia="宋体" w:cs="宋体"/>
                <w:color w:val="333333"/>
                <w:kern w:val="0"/>
                <w:sz w:val="21"/>
                <w:szCs w:val="21"/>
              </w:rPr>
            </w:pPr>
          </w:p>
        </w:tc>
        <w:tc>
          <w:tcPr>
            <w:tcW w:w="17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E1D1FA1">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面部每切口以3厘米为基础计价，躯干部每切口以5厘米为基础计价，超过长度按厘米加收。</w:t>
            </w:r>
          </w:p>
        </w:tc>
        <w:tc>
          <w:tcPr>
            <w:tcW w:w="8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EE960B4">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095F673C">
        <w:tblPrEx>
          <w:tblCellMar>
            <w:top w:w="0" w:type="dxa"/>
            <w:left w:w="0" w:type="dxa"/>
            <w:bottom w:w="0" w:type="dxa"/>
            <w:right w:w="0" w:type="dxa"/>
          </w:tblCellMar>
        </w:tblPrEx>
        <w:trPr>
          <w:trHeight w:val="544" w:hRule="atLeast"/>
          <w:jc w:val="center"/>
        </w:trPr>
        <w:tc>
          <w:tcPr>
            <w:tcW w:w="63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14:paraId="5848498E">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w:t>
            </w:r>
          </w:p>
        </w:tc>
        <w:tc>
          <w:tcPr>
            <w:tcW w:w="11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0D5E5EB">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016100000090000T</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82F0409">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美容注射费</w:t>
            </w:r>
          </w:p>
        </w:tc>
        <w:tc>
          <w:tcPr>
            <w:tcW w:w="17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B3E6D6F">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通过注射物质，改善皮肤状态或容貌外观。</w:t>
            </w:r>
          </w:p>
        </w:tc>
        <w:tc>
          <w:tcPr>
            <w:tcW w:w="25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488851C">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所定价格涵盖注射计划、手术计划、术区准备、注射等步骤所需的人力资源及基本物质资源消耗。</w:t>
            </w:r>
          </w:p>
        </w:tc>
        <w:tc>
          <w:tcPr>
            <w:tcW w:w="79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14:paraId="0FE7C454">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次</w:t>
            </w:r>
          </w:p>
        </w:tc>
        <w:tc>
          <w:tcPr>
            <w:tcW w:w="11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E038ADA">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436</w:t>
            </w:r>
          </w:p>
        </w:tc>
        <w:tc>
          <w:tcPr>
            <w:tcW w:w="15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463C360">
            <w:pPr>
              <w:widowControl/>
              <w:spacing w:beforeAutospacing="1" w:afterAutospacing="1"/>
              <w:jc w:val="both"/>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01特殊部位加收</w:t>
            </w:r>
          </w:p>
        </w:tc>
        <w:tc>
          <w:tcPr>
            <w:tcW w:w="13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6AFAFA9">
            <w:pPr>
              <w:widowControl/>
              <w:spacing w:beforeAutospacing="1" w:afterAutospacing="1"/>
              <w:jc w:val="both"/>
              <w:rPr>
                <w:rFonts w:hint="eastAsia" w:ascii="宋体" w:hAnsi="宋体" w:eastAsia="宋体" w:cs="宋体"/>
                <w:color w:val="333333"/>
                <w:kern w:val="0"/>
                <w:sz w:val="21"/>
                <w:szCs w:val="21"/>
              </w:rPr>
            </w:pPr>
          </w:p>
        </w:tc>
        <w:tc>
          <w:tcPr>
            <w:tcW w:w="17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DE7C8A1">
            <w:pPr>
              <w:widowControl/>
              <w:spacing w:beforeAutospacing="1" w:afterAutospacing="1"/>
              <w:jc w:val="both"/>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本项目中的“次”指每次注射的部位，部位包括：眉间纹、鱼尾纹、眼袋纹、额纹、鼻背纹、须部、颈阔肌、腋窝、手足等各类需要改善的部位。</w:t>
            </w:r>
          </w:p>
        </w:tc>
        <w:tc>
          <w:tcPr>
            <w:tcW w:w="8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801F5F0">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34FBB001">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14:paraId="08C70BB1">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c>
          <w:tcPr>
            <w:tcW w:w="116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B28BA3">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016100000090001T</w:t>
            </w:r>
          </w:p>
        </w:tc>
        <w:tc>
          <w:tcPr>
            <w:tcW w:w="12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F89840B">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美容注射费-特殊部位（加收）</w:t>
            </w:r>
          </w:p>
        </w:tc>
        <w:tc>
          <w:tcPr>
            <w:tcW w:w="177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AC8799A">
            <w:pPr>
              <w:widowControl/>
              <w:spacing w:beforeAutospacing="1" w:afterAutospacing="1"/>
              <w:jc w:val="left"/>
              <w:textAlignment w:val="center"/>
              <w:rPr>
                <w:rFonts w:hint="eastAsia" w:ascii="宋体" w:hAnsi="宋体" w:eastAsia="宋体" w:cs="宋体"/>
                <w:kern w:val="0"/>
                <w:sz w:val="21"/>
                <w:szCs w:val="21"/>
              </w:rPr>
            </w:pPr>
          </w:p>
        </w:tc>
        <w:tc>
          <w:tcPr>
            <w:tcW w:w="251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11A0DFD">
            <w:pPr>
              <w:widowControl/>
              <w:spacing w:beforeAutospacing="1" w:afterAutospacing="1"/>
              <w:jc w:val="center"/>
              <w:rPr>
                <w:rFonts w:hint="eastAsia" w:ascii="宋体" w:hAnsi="宋体" w:eastAsia="宋体" w:cs="宋体"/>
                <w:kern w:val="0"/>
                <w:sz w:val="21"/>
                <w:szCs w:val="21"/>
              </w:rPr>
            </w:pPr>
          </w:p>
        </w:tc>
        <w:tc>
          <w:tcPr>
            <w:tcW w:w="799" w:type="dxa"/>
            <w:tcBorders>
              <w:top w:val="single" w:color="auto" w:sz="4" w:space="0"/>
              <w:left w:val="single" w:color="auto" w:sz="4" w:space="0"/>
              <w:bottom w:val="single" w:color="auto" w:sz="4" w:space="0"/>
              <w:right w:val="single" w:color="auto" w:sz="4" w:space="0"/>
            </w:tcBorders>
            <w:noWrap/>
            <w:tcMar>
              <w:top w:w="0" w:type="dxa"/>
              <w:left w:w="108" w:type="dxa"/>
              <w:bottom w:w="0" w:type="dxa"/>
              <w:right w:w="108" w:type="dxa"/>
            </w:tcMar>
            <w:vAlign w:val="center"/>
          </w:tcPr>
          <w:p w14:paraId="708F9B31">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次</w:t>
            </w:r>
          </w:p>
        </w:tc>
        <w:tc>
          <w:tcPr>
            <w:tcW w:w="1113"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1056765">
            <w:pPr>
              <w:widowControl/>
              <w:spacing w:beforeAutospacing="1" w:afterAutospacing="1"/>
              <w:jc w:val="center"/>
              <w:textAlignment w:val="center"/>
              <w:rPr>
                <w:rFonts w:hint="default" w:ascii="微软雅黑" w:hAnsi="微软雅黑" w:eastAsia="微软雅黑" w:cs="宋体"/>
                <w:kern w:val="0"/>
                <w:sz w:val="21"/>
                <w:szCs w:val="21"/>
                <w:lang w:val="en-US" w:eastAsia="zh-CN"/>
              </w:rPr>
            </w:pPr>
            <w:r>
              <w:rPr>
                <w:rFonts w:hint="eastAsia" w:ascii="宋体" w:hAnsi="宋体" w:eastAsia="宋体" w:cs="宋体"/>
                <w:kern w:val="0"/>
                <w:sz w:val="21"/>
                <w:szCs w:val="21"/>
                <w:lang w:val="en-US" w:eastAsia="zh-CN"/>
              </w:rPr>
              <w:t>200</w:t>
            </w:r>
          </w:p>
        </w:tc>
        <w:tc>
          <w:tcPr>
            <w:tcW w:w="156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EEDD5E1">
            <w:pPr>
              <w:widowControl/>
              <w:spacing w:beforeAutospacing="1" w:afterAutospacing="1"/>
              <w:jc w:val="both"/>
              <w:rPr>
                <w:rFonts w:hint="eastAsia" w:ascii="宋体" w:hAnsi="宋体" w:eastAsia="宋体" w:cs="宋体"/>
                <w:color w:val="333333"/>
                <w:kern w:val="0"/>
                <w:sz w:val="21"/>
                <w:szCs w:val="21"/>
              </w:rPr>
            </w:pPr>
          </w:p>
        </w:tc>
        <w:tc>
          <w:tcPr>
            <w:tcW w:w="133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41CE5D3">
            <w:pPr>
              <w:widowControl/>
              <w:spacing w:beforeAutospacing="1" w:afterAutospacing="1"/>
              <w:jc w:val="both"/>
              <w:rPr>
                <w:rFonts w:hint="eastAsia" w:ascii="宋体" w:hAnsi="宋体" w:eastAsia="宋体" w:cs="宋体"/>
                <w:color w:val="333333"/>
                <w:kern w:val="0"/>
                <w:sz w:val="21"/>
                <w:szCs w:val="21"/>
              </w:rPr>
            </w:pPr>
          </w:p>
        </w:tc>
        <w:tc>
          <w:tcPr>
            <w:tcW w:w="178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581FEF3">
            <w:pPr>
              <w:widowControl/>
              <w:spacing w:beforeAutospacing="1" w:afterAutospacing="1"/>
              <w:jc w:val="both"/>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本项目中的“特殊部位”指：咬肌、斜方肌、腓肠肌。</w:t>
            </w:r>
          </w:p>
        </w:tc>
        <w:tc>
          <w:tcPr>
            <w:tcW w:w="89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AE05241">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5A6686C4">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54A8EF17">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F53D7DF">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016200000130000T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A55FE38">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眉上部整形费</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4F0DCC3">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通过手术方式改善患者眉上部外观，并改善上睑皮肤松弛，满足患者需求。</w:t>
            </w: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4F6454A6">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所定价格涵盖手术计划、术区准备、消毒、切开、悬吊、止血、缝合等步骤所需人力资源和基本物质资源消耗。</w:t>
            </w: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0B2669B0">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单侧</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8AB98F0">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1560</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3529CB2">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01再次手术加收</w:t>
            </w:r>
          </w:p>
          <w:p w14:paraId="598FA1C9">
            <w:pPr>
              <w:widowControl/>
              <w:spacing w:beforeAutospacing="1" w:afterAutospacing="1"/>
              <w:jc w:val="both"/>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11涉及真皮或肌肉加收</w:t>
            </w: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BFCCCA5">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01眉再造</w:t>
            </w:r>
          </w:p>
          <w:p w14:paraId="104062F6">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11隆眉</w:t>
            </w:r>
          </w:p>
          <w:p w14:paraId="5675758E">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21眉下部整形</w:t>
            </w: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723C053">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3971FD8">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317B6EF3">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60841BF4">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44635103">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016200000132100T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209AA2D">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眉上部整形费-眉下部整形（扩展）</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472238D">
            <w:pPr>
              <w:widowControl/>
              <w:spacing w:beforeAutospacing="1" w:afterAutospacing="1"/>
              <w:jc w:val="left"/>
              <w:textAlignment w:val="center"/>
              <w:rPr>
                <w:rFonts w:hint="eastAsia" w:ascii="宋体" w:hAnsi="宋体" w:eastAsia="宋体" w:cs="宋体"/>
                <w:kern w:val="0"/>
                <w:sz w:val="21"/>
                <w:szCs w:val="21"/>
              </w:rPr>
            </w:pP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6E2C733">
            <w:pPr>
              <w:widowControl/>
              <w:spacing w:beforeAutospacing="1" w:afterAutospacing="1"/>
              <w:jc w:val="center"/>
              <w:rPr>
                <w:rFonts w:hint="eastAsia" w:ascii="宋体" w:hAnsi="宋体" w:eastAsia="宋体" w:cs="宋体"/>
                <w:kern w:val="0"/>
                <w:sz w:val="21"/>
                <w:szCs w:val="21"/>
              </w:rPr>
            </w:pP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2C14268A">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单侧</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9591757">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1560</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1542723">
            <w:pPr>
              <w:widowControl/>
              <w:spacing w:beforeAutospacing="1" w:afterAutospacing="1"/>
              <w:jc w:val="center"/>
              <w:rPr>
                <w:rFonts w:hint="eastAsia" w:ascii="宋体" w:hAnsi="宋体" w:eastAsia="宋体" w:cs="宋体"/>
                <w:color w:val="333333"/>
                <w:kern w:val="0"/>
                <w:sz w:val="21"/>
                <w:szCs w:val="21"/>
              </w:rPr>
            </w:pP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4DB73E1A">
            <w:pPr>
              <w:widowControl/>
              <w:spacing w:beforeAutospacing="1" w:afterAutospacing="1"/>
              <w:jc w:val="center"/>
              <w:rPr>
                <w:rFonts w:hint="eastAsia" w:ascii="宋体" w:hAnsi="宋体" w:eastAsia="宋体" w:cs="宋体"/>
                <w:color w:val="333333"/>
                <w:kern w:val="0"/>
                <w:sz w:val="21"/>
                <w:szCs w:val="21"/>
              </w:rPr>
            </w:pP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75C7B70">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DF42EE9">
            <w:pPr>
              <w:widowControl/>
              <w:spacing w:beforeAutospacing="1" w:afterAutospacing="1"/>
              <w:jc w:val="center"/>
              <w:rPr>
                <w:rFonts w:hint="eastAsia" w:ascii="宋体" w:hAnsi="宋体" w:eastAsia="宋体" w:cs="宋体"/>
                <w:color w:val="333333"/>
                <w:kern w:val="0"/>
                <w:sz w:val="21"/>
                <w:szCs w:val="21"/>
                <w:lang w:eastAsia="zh-CN"/>
              </w:rPr>
            </w:pPr>
          </w:p>
        </w:tc>
      </w:tr>
      <w:tr w14:paraId="5CE50C99">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3A686302">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6</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4BDCA14">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016200000150000T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9893758">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眼袋整形费</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ABD570F">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通过整形手术方式去除眼睑脂肪、皮肤、肌肉，满足患者需求。</w:t>
            </w: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F17C4DF">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所定价格涵盖手术计划、术区准备、消毒、切开或穿刺、必要时去除部分组织、缝合等步骤所需的人力资源和基本物质资源消耗。</w:t>
            </w: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3BD9AE52">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单侧</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CCEACEF">
            <w:pPr>
              <w:keepNext w:val="0"/>
              <w:keepLines w:val="0"/>
              <w:pageBreakBefore w:val="0"/>
              <w:widowControl/>
              <w:kinsoku/>
              <w:wordWrap/>
              <w:overflowPunct/>
              <w:topLinePunct w:val="0"/>
              <w:autoSpaceDE/>
              <w:autoSpaceDN/>
              <w:bidi w:val="0"/>
              <w:adjustRightInd/>
              <w:snapToGrid/>
              <w:spacing w:beforeAutospacing="1" w:afterAutospacing="1" w:line="240" w:lineRule="auto"/>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1843</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90182A4">
            <w:pPr>
              <w:keepNext w:val="0"/>
              <w:keepLines w:val="0"/>
              <w:pageBreakBefore w:val="0"/>
              <w:widowControl/>
              <w:kinsoku/>
              <w:wordWrap/>
              <w:overflowPunct/>
              <w:topLinePunct w:val="0"/>
              <w:autoSpaceDE/>
              <w:autoSpaceDN/>
              <w:bidi w:val="0"/>
              <w:adjustRightInd/>
              <w:snapToGrid/>
              <w:spacing w:beforeAutospacing="1" w:afterAutospacing="1" w:line="240" w:lineRule="auto"/>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01再次手术加收</w:t>
            </w:r>
          </w:p>
          <w:p w14:paraId="308FAD88">
            <w:pPr>
              <w:keepNext w:val="0"/>
              <w:keepLines w:val="0"/>
              <w:pageBreakBefore w:val="0"/>
              <w:widowControl/>
              <w:kinsoku/>
              <w:wordWrap/>
              <w:overflowPunct/>
              <w:topLinePunct w:val="0"/>
              <w:autoSpaceDE/>
              <w:autoSpaceDN/>
              <w:bidi w:val="0"/>
              <w:adjustRightInd/>
              <w:snapToGrid/>
              <w:spacing w:beforeAutospacing="1" w:afterAutospacing="1" w:line="240" w:lineRule="auto"/>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11睑板楔形切除加收</w:t>
            </w:r>
          </w:p>
          <w:p w14:paraId="597E6D84">
            <w:pPr>
              <w:keepNext w:val="0"/>
              <w:keepLines w:val="0"/>
              <w:pageBreakBefore w:val="0"/>
              <w:widowControl/>
              <w:kinsoku/>
              <w:wordWrap/>
              <w:overflowPunct/>
              <w:topLinePunct w:val="0"/>
              <w:autoSpaceDE/>
              <w:autoSpaceDN/>
              <w:bidi w:val="0"/>
              <w:adjustRightInd/>
              <w:snapToGrid/>
              <w:spacing w:beforeAutospacing="1" w:afterAutospacing="1" w:line="240" w:lineRule="auto"/>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21外眦锚定加收</w:t>
            </w: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14B7C2E">
            <w:pPr>
              <w:widowControl/>
              <w:spacing w:beforeAutospacing="1" w:afterAutospacing="1"/>
              <w:jc w:val="center"/>
              <w:rPr>
                <w:rFonts w:hint="eastAsia" w:ascii="宋体" w:hAnsi="宋体" w:eastAsia="宋体" w:cs="宋体"/>
                <w:color w:val="333333"/>
                <w:kern w:val="0"/>
                <w:sz w:val="21"/>
                <w:szCs w:val="21"/>
              </w:rPr>
            </w:pP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6EE4B10">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EF5FBD6">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65444B5F">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52C2C93C">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7</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E945751">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016200000160000T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6E86FF6">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重睑整形费</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9D92741">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通过整形手术方式实现重睑成形，满足患者需求。</w:t>
            </w: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B90D010">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所定价格涵盖手术计划、术区准备、消毒、切开或穿刺、必要时去除部分组织、缝合等步骤所需的人力资源和基本物质资源消耗。</w:t>
            </w: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7EA6AB3F">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单侧</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1F78692">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1350</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9076D48">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01再次手术加收</w:t>
            </w:r>
          </w:p>
          <w:p w14:paraId="54FEBDC6">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11上睑提肌腱膜调整加收</w:t>
            </w:r>
          </w:p>
          <w:p w14:paraId="67FB5DD8">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21筋膜鞘异常加收</w:t>
            </w: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F5376C0">
            <w:pPr>
              <w:widowControl/>
              <w:spacing w:beforeAutospacing="1" w:afterAutospacing="1"/>
              <w:jc w:val="center"/>
              <w:rPr>
                <w:rFonts w:hint="eastAsia" w:ascii="宋体" w:hAnsi="宋体" w:eastAsia="宋体" w:cs="宋体"/>
                <w:color w:val="333333"/>
                <w:kern w:val="0"/>
                <w:sz w:val="21"/>
                <w:szCs w:val="21"/>
              </w:rPr>
            </w:pP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B1199FE">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内眦外眦可分别计价</w:t>
            </w:r>
            <w:r>
              <w:rPr>
                <w:rFonts w:hint="eastAsia" w:ascii="宋体" w:hAnsi="宋体" w:eastAsia="宋体" w:cs="宋体"/>
                <w:color w:val="333333"/>
                <w:kern w:val="0"/>
                <w:sz w:val="21"/>
                <w:szCs w:val="21"/>
                <w:lang w:eastAsia="zh-CN"/>
              </w:rPr>
              <w:t>。</w:t>
            </w: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FA48435">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41BF938B">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16B1C2D9">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8</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8029691">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016200000170000T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AA2D8B9">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眦整形费</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4C28BA9">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通过整形手术方式改善患者毗部外观，满足患者需求。</w:t>
            </w: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2E3B3F0">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所定价格涵盖手术计划、术区准备、消毒、切开、止血、缝合等步骤所需人力资源和基本物质资源消耗。</w:t>
            </w: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27DDB749">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单侧</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345F91B">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1113</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A329D03">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01再次手术加收</w:t>
            </w: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BC82BF4">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01外眦眼轮匝肌离断</w:t>
            </w: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C09478F">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F6264A5">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3A632E89">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4A3B068C">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91D7EA8">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016200000170100T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4A232BC8">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眦整形费-外眦眼轮匝肌离断（扩展）</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1B512F6">
            <w:pPr>
              <w:widowControl/>
              <w:spacing w:beforeAutospacing="1" w:afterAutospacing="1"/>
              <w:jc w:val="left"/>
              <w:textAlignment w:val="center"/>
              <w:rPr>
                <w:rFonts w:hint="eastAsia" w:ascii="宋体" w:hAnsi="宋体" w:eastAsia="宋体" w:cs="宋体"/>
                <w:kern w:val="0"/>
                <w:sz w:val="21"/>
                <w:szCs w:val="21"/>
              </w:rPr>
            </w:pP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E007870">
            <w:pPr>
              <w:widowControl/>
              <w:spacing w:beforeAutospacing="1" w:afterAutospacing="1"/>
              <w:jc w:val="center"/>
              <w:rPr>
                <w:rFonts w:hint="eastAsia" w:ascii="宋体" w:hAnsi="宋体" w:eastAsia="宋体" w:cs="宋体"/>
                <w:kern w:val="0"/>
                <w:sz w:val="21"/>
                <w:szCs w:val="21"/>
              </w:rPr>
            </w:pP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44B1E17E">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单侧</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A27CE43">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1113</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3BF9194">
            <w:pPr>
              <w:widowControl/>
              <w:spacing w:beforeAutospacing="1" w:afterAutospacing="1"/>
              <w:jc w:val="center"/>
              <w:rPr>
                <w:rFonts w:hint="eastAsia" w:ascii="宋体" w:hAnsi="宋体" w:eastAsia="宋体" w:cs="宋体"/>
                <w:color w:val="333333"/>
                <w:kern w:val="0"/>
                <w:sz w:val="21"/>
                <w:szCs w:val="21"/>
              </w:rPr>
            </w:pP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8F456B3">
            <w:pPr>
              <w:widowControl/>
              <w:spacing w:beforeAutospacing="1" w:afterAutospacing="1"/>
              <w:jc w:val="center"/>
              <w:rPr>
                <w:rFonts w:hint="eastAsia" w:ascii="宋体" w:hAnsi="宋体" w:eastAsia="宋体" w:cs="宋体"/>
                <w:color w:val="333333"/>
                <w:kern w:val="0"/>
                <w:sz w:val="21"/>
                <w:szCs w:val="21"/>
              </w:rPr>
            </w:pP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51D2F84">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1E6D1EB">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12A994A2">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6BA542E0">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0C06298">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016200000190000T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CF17D4D">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眶隔脂肪整形费</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D14E6A6">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通过整形手术方式调整眶隔脂肪组织量及分布位置，改善上睑臃肿或凹陷，满足患者需求。</w:t>
            </w: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53B6FE7">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所定价格涵盖手术计划、术区准备、消毒、切开、修复、止血、缝合等步骤所需的人力资源和基本物质资源消耗。</w:t>
            </w: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681BB558">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单侧</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41676AE5">
            <w:pPr>
              <w:widowControl/>
              <w:spacing w:beforeAutospacing="1" w:afterAutospacing="1"/>
              <w:jc w:val="both"/>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986</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D38671B">
            <w:pPr>
              <w:widowControl/>
              <w:spacing w:beforeAutospacing="1" w:afterAutospacing="1"/>
              <w:jc w:val="both"/>
              <w:rPr>
                <w:rFonts w:hint="eastAsia" w:ascii="宋体" w:hAnsi="宋体" w:eastAsia="宋体" w:cs="宋体"/>
                <w:color w:val="333333"/>
                <w:kern w:val="0"/>
                <w:sz w:val="21"/>
                <w:szCs w:val="21"/>
              </w:rPr>
            </w:pPr>
            <w:r>
              <w:rPr>
                <w:rFonts w:hint="eastAsia" w:ascii="宋体" w:hAnsi="宋体" w:eastAsia="宋体" w:cs="宋体"/>
                <w:kern w:val="0"/>
                <w:sz w:val="21"/>
                <w:szCs w:val="21"/>
                <w:lang w:val="en-US"/>
              </w:rPr>
              <w:t>01再次手术加收</w:t>
            </w: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5E7AA5B">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01眼轮匝肌下脂肪整形</w:t>
            </w: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1040D65">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2C8BD25">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7BAB6558">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7EEFDC7F">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11</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49774453">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016200000260000T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AF64DE0">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隆鼻费</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7B5DD35">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通过整形手术方式调整鼻部高度，满足患者需求。</w:t>
            </w: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A47DC7B">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所定价格涵盖手术计划、术区准备、消毒、切开、修整、创面覆盖、止血、缝合等步骤所需的人力资源和基本物质资源消耗。</w:t>
            </w: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61309AD9">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次</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071F027">
            <w:pPr>
              <w:widowControl/>
              <w:spacing w:beforeAutospacing="1" w:afterAutospacing="1"/>
              <w:jc w:val="both"/>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1600</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4C2C2CD1">
            <w:pPr>
              <w:widowControl/>
              <w:spacing w:beforeAutospacing="1" w:afterAutospacing="1"/>
              <w:jc w:val="center"/>
              <w:textAlignment w:val="center"/>
              <w:rPr>
                <w:rFonts w:hint="eastAsia" w:ascii="宋体" w:hAnsi="宋体" w:eastAsia="宋体" w:cs="宋体"/>
                <w:kern w:val="0"/>
                <w:sz w:val="21"/>
                <w:szCs w:val="21"/>
                <w:lang w:val="en-US"/>
              </w:rPr>
            </w:pPr>
            <w:r>
              <w:rPr>
                <w:rFonts w:hint="eastAsia" w:ascii="宋体" w:hAnsi="宋体" w:eastAsia="宋体" w:cs="宋体"/>
                <w:kern w:val="0"/>
                <w:sz w:val="21"/>
                <w:szCs w:val="21"/>
                <w:lang w:val="en-US"/>
              </w:rPr>
              <w:t>01再次手术加收</w:t>
            </w:r>
          </w:p>
          <w:p w14:paraId="3AB66014">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kern w:val="0"/>
                <w:sz w:val="21"/>
                <w:szCs w:val="21"/>
                <w:lang w:val="en-US"/>
              </w:rPr>
              <w:t>11自体组织移植加收</w:t>
            </w: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0473032">
            <w:pPr>
              <w:widowControl/>
              <w:spacing w:beforeAutospacing="1" w:afterAutospacing="1"/>
              <w:jc w:val="center"/>
              <w:rPr>
                <w:rFonts w:hint="eastAsia" w:ascii="宋体" w:hAnsi="宋体" w:eastAsia="宋体" w:cs="宋体"/>
                <w:color w:val="333333"/>
                <w:kern w:val="0"/>
                <w:sz w:val="21"/>
                <w:szCs w:val="21"/>
              </w:rPr>
            </w:pP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832B178">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BAD3586">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11BC5162">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4997ECDA">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12</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D5AE000">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016200000530000T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9148F21">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腋臭切除费</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BCD6FE1">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通过手术切除腋臭，改善患者腋臭情况，满足患者需求。</w:t>
            </w: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9B491CD">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所定价格涵盖手术计划、术区准备、消毒、切开、切除、缝合等步骤所需的人力资源及基本物质资源消耗。</w:t>
            </w: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7B6B7B8F">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单侧</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96AEB45">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1873</w:t>
            </w:r>
            <w:bookmarkStart w:id="4" w:name="_GoBack"/>
            <w:bookmarkEnd w:id="4"/>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2BA6DC2">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01再次手术加收</w:t>
            </w:r>
          </w:p>
          <w:p w14:paraId="5A8304B1">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11保留皮片大汗腺加收</w:t>
            </w: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247D42F">
            <w:pPr>
              <w:widowControl/>
              <w:spacing w:beforeAutospacing="1" w:afterAutospacing="1"/>
              <w:jc w:val="center"/>
              <w:rPr>
                <w:rFonts w:hint="eastAsia" w:ascii="宋体" w:hAnsi="宋体" w:eastAsia="宋体" w:cs="宋体"/>
                <w:color w:val="333333"/>
                <w:kern w:val="0"/>
                <w:sz w:val="21"/>
                <w:szCs w:val="21"/>
              </w:rPr>
            </w:pP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66B7EE9">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20600089">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26EA75A2">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4AA1C7B9">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00D024E">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016200000530011T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604201E">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腋臭切除费-保留皮片大汗腺（加收）</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97D6C84">
            <w:pPr>
              <w:widowControl/>
              <w:spacing w:beforeAutospacing="1" w:afterAutospacing="1"/>
              <w:jc w:val="left"/>
              <w:textAlignment w:val="center"/>
              <w:rPr>
                <w:rFonts w:hint="eastAsia" w:ascii="宋体" w:hAnsi="宋体" w:eastAsia="宋体" w:cs="宋体"/>
                <w:kern w:val="0"/>
                <w:sz w:val="21"/>
                <w:szCs w:val="21"/>
              </w:rPr>
            </w:pP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39A6800">
            <w:pPr>
              <w:widowControl/>
              <w:spacing w:beforeAutospacing="1" w:afterAutospacing="1"/>
              <w:jc w:val="center"/>
              <w:rPr>
                <w:rFonts w:hint="eastAsia" w:ascii="宋体" w:hAnsi="宋体" w:eastAsia="宋体" w:cs="宋体"/>
                <w:kern w:val="0"/>
                <w:sz w:val="21"/>
                <w:szCs w:val="21"/>
              </w:rPr>
            </w:pP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6DFDF234">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单侧</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3D61286">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457</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4431C89C">
            <w:pPr>
              <w:widowControl/>
              <w:spacing w:beforeAutospacing="1" w:afterAutospacing="1"/>
              <w:jc w:val="center"/>
              <w:rPr>
                <w:rFonts w:hint="eastAsia" w:ascii="宋体" w:hAnsi="宋体" w:eastAsia="宋体" w:cs="宋体"/>
                <w:color w:val="333333"/>
                <w:kern w:val="0"/>
                <w:sz w:val="21"/>
                <w:szCs w:val="21"/>
              </w:rPr>
            </w:pP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86D80FD">
            <w:pPr>
              <w:widowControl/>
              <w:spacing w:beforeAutospacing="1" w:afterAutospacing="1"/>
              <w:jc w:val="center"/>
              <w:rPr>
                <w:rFonts w:hint="eastAsia" w:ascii="宋体" w:hAnsi="宋体" w:eastAsia="宋体" w:cs="宋体"/>
                <w:color w:val="333333"/>
                <w:kern w:val="0"/>
                <w:sz w:val="21"/>
                <w:szCs w:val="21"/>
              </w:rPr>
            </w:pP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6A1C574">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8325898">
            <w:pPr>
              <w:widowControl/>
              <w:spacing w:beforeAutospacing="1" w:afterAutospacing="1"/>
              <w:jc w:val="center"/>
              <w:rPr>
                <w:rFonts w:hint="eastAsia" w:ascii="宋体" w:hAnsi="宋体" w:eastAsia="宋体" w:cs="宋体"/>
                <w:color w:val="333333"/>
                <w:kern w:val="0"/>
                <w:sz w:val="21"/>
                <w:szCs w:val="21"/>
                <w:lang w:eastAsia="zh-CN"/>
              </w:rPr>
            </w:pPr>
            <w:r>
              <w:rPr>
                <w:rFonts w:hint="eastAsia" w:ascii="宋体" w:hAnsi="宋体" w:eastAsia="宋体" w:cs="宋体"/>
                <w:color w:val="333333"/>
                <w:kern w:val="0"/>
                <w:sz w:val="21"/>
                <w:szCs w:val="21"/>
                <w:lang w:eastAsia="zh-CN"/>
              </w:rPr>
              <w:t>自费</w:t>
            </w:r>
          </w:p>
        </w:tc>
      </w:tr>
      <w:tr w14:paraId="43F9E885">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60BC9F13">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14</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DDE9F76">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016200000720000T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1EA094F">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阴唇美容整形费</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149C940">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通过美容整形方式改善外阴美观度，满足患者需求。</w:t>
            </w: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DA6AD51">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所定价格涵盖手术计划、术区准备、消毒、切开、修整、缝合等步骤所需人力资源和基本物质资源消耗。</w:t>
            </w: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42730816">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单侧</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354D1EA">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1853</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3B9B89B">
            <w:pPr>
              <w:widowControl/>
              <w:spacing w:beforeAutospacing="1" w:afterAutospacing="1"/>
              <w:jc w:val="center"/>
              <w:rPr>
                <w:rFonts w:hint="eastAsia" w:ascii="宋体" w:hAnsi="宋体" w:eastAsia="宋体" w:cs="宋体"/>
                <w:color w:val="333333"/>
                <w:kern w:val="0"/>
                <w:sz w:val="21"/>
                <w:szCs w:val="21"/>
              </w:rPr>
            </w:pP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0C2E91A">
            <w:pPr>
              <w:widowControl/>
              <w:spacing w:beforeAutospacing="1" w:afterAutospacing="1"/>
              <w:jc w:val="center"/>
              <w:rPr>
                <w:rFonts w:hint="eastAsia" w:ascii="宋体" w:hAnsi="宋体" w:eastAsia="宋体" w:cs="宋体"/>
                <w:color w:val="333333"/>
                <w:kern w:val="0"/>
                <w:sz w:val="21"/>
                <w:szCs w:val="21"/>
              </w:rPr>
            </w:pP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B6BD9F1">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A75B064">
            <w:pPr>
              <w:widowControl/>
              <w:spacing w:beforeAutospacing="1" w:afterAutospacing="1"/>
              <w:jc w:val="center"/>
              <w:rPr>
                <w:rFonts w:hint="eastAsia" w:ascii="宋体" w:hAnsi="宋体" w:eastAsia="宋体" w:cs="宋体"/>
                <w:color w:val="333333"/>
                <w:kern w:val="0"/>
                <w:sz w:val="21"/>
                <w:szCs w:val="21"/>
                <w:lang w:eastAsia="zh-CN"/>
              </w:rPr>
            </w:pPr>
          </w:p>
        </w:tc>
      </w:tr>
      <w:tr w14:paraId="7BC69EF7">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57F2097C">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15</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452C961F">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016200000740000T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A8A2939">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阴道整形费</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5CF6434">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通过美容整形方式改善阴道外观和功能，满足患者需求。</w:t>
            </w: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4F02EB2">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所定价格涵盖手术计划、术区准备、消毒、切开、修整、缝合等步骤所需人力资源和基本物质资源消耗。</w:t>
            </w: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5066F848">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次</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E2CF83B">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2482</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B2AF33B">
            <w:pPr>
              <w:widowControl/>
              <w:spacing w:beforeAutospacing="1" w:afterAutospacing="1"/>
              <w:jc w:val="center"/>
              <w:rPr>
                <w:rFonts w:hint="eastAsia" w:ascii="宋体" w:hAnsi="宋体" w:eastAsia="宋体" w:cs="宋体"/>
                <w:color w:val="333333"/>
                <w:kern w:val="0"/>
                <w:sz w:val="21"/>
                <w:szCs w:val="21"/>
              </w:rPr>
            </w:pP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4EEC0A73">
            <w:pPr>
              <w:widowControl/>
              <w:spacing w:beforeAutospacing="1" w:afterAutospacing="1"/>
              <w:jc w:val="center"/>
              <w:rPr>
                <w:rFonts w:hint="eastAsia" w:ascii="宋体" w:hAnsi="宋体" w:eastAsia="宋体" w:cs="宋体"/>
                <w:color w:val="333333"/>
                <w:kern w:val="0"/>
                <w:sz w:val="21"/>
                <w:szCs w:val="21"/>
              </w:rPr>
            </w:pP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B83680C">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5D36B01">
            <w:pPr>
              <w:widowControl/>
              <w:spacing w:beforeAutospacing="1" w:afterAutospacing="1"/>
              <w:jc w:val="center"/>
              <w:rPr>
                <w:rFonts w:hint="eastAsia" w:ascii="宋体" w:hAnsi="宋体" w:eastAsia="宋体" w:cs="宋体"/>
                <w:color w:val="333333"/>
                <w:kern w:val="0"/>
                <w:sz w:val="21"/>
                <w:szCs w:val="21"/>
                <w:lang w:eastAsia="zh-CN"/>
              </w:rPr>
            </w:pPr>
          </w:p>
        </w:tc>
      </w:tr>
      <w:tr w14:paraId="42A5F9AF">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auto" w:sz="4" w:space="0"/>
              <w:right w:val="single" w:color="000000" w:sz="8" w:space="0"/>
            </w:tcBorders>
            <w:noWrap/>
            <w:tcMar>
              <w:top w:w="0" w:type="dxa"/>
              <w:left w:w="108" w:type="dxa"/>
              <w:bottom w:w="0" w:type="dxa"/>
              <w:right w:w="108" w:type="dxa"/>
            </w:tcMar>
            <w:vAlign w:val="center"/>
          </w:tcPr>
          <w:p w14:paraId="1B8FF1CF">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16</w:t>
            </w:r>
          </w:p>
        </w:tc>
        <w:tc>
          <w:tcPr>
            <w:tcW w:w="1162"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0B8D23E">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016200000840000T</w:t>
            </w:r>
          </w:p>
        </w:tc>
        <w:tc>
          <w:tcPr>
            <w:tcW w:w="1234"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EDEFAC0">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包皮整形费</w:t>
            </w:r>
          </w:p>
        </w:tc>
        <w:tc>
          <w:tcPr>
            <w:tcW w:w="177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1170B692">
            <w:pPr>
              <w:widowControl/>
              <w:spacing w:beforeAutospacing="1" w:afterAutospacing="1"/>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通过整形手术方式改善不良包皮形态，满足患者需求。</w:t>
            </w:r>
          </w:p>
        </w:tc>
        <w:tc>
          <w:tcPr>
            <w:tcW w:w="2517"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6374F475">
            <w:pPr>
              <w:widowControl/>
              <w:spacing w:beforeAutospacing="1" w:afterAutospacing="1"/>
              <w:jc w:val="center"/>
              <w:rPr>
                <w:rFonts w:hint="eastAsia" w:ascii="宋体" w:hAnsi="宋体" w:eastAsia="宋体" w:cs="宋体"/>
                <w:kern w:val="0"/>
                <w:sz w:val="21"/>
                <w:szCs w:val="21"/>
              </w:rPr>
            </w:pPr>
            <w:r>
              <w:rPr>
                <w:rFonts w:hint="eastAsia" w:ascii="宋体" w:hAnsi="宋体" w:eastAsia="宋体" w:cs="宋体"/>
                <w:kern w:val="0"/>
                <w:sz w:val="21"/>
                <w:szCs w:val="21"/>
              </w:rPr>
              <w:t>所定价格涵盖手术计划、术区准备、消毒、切开、修整、止血、缝合及必要时修复缺损、组织再造等步骤所需人力资源和基本物质资源消耗。</w:t>
            </w:r>
          </w:p>
        </w:tc>
        <w:tc>
          <w:tcPr>
            <w:tcW w:w="799" w:type="dxa"/>
            <w:tcBorders>
              <w:top w:val="single" w:color="auto" w:sz="4" w:space="0"/>
              <w:left w:val="nil"/>
              <w:bottom w:val="single" w:color="auto" w:sz="4" w:space="0"/>
              <w:right w:val="single" w:color="000000" w:sz="8" w:space="0"/>
            </w:tcBorders>
            <w:noWrap/>
            <w:tcMar>
              <w:top w:w="0" w:type="dxa"/>
              <w:left w:w="108" w:type="dxa"/>
              <w:bottom w:w="0" w:type="dxa"/>
              <w:right w:w="108" w:type="dxa"/>
            </w:tcMar>
            <w:vAlign w:val="center"/>
          </w:tcPr>
          <w:p w14:paraId="3800984F">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次</w:t>
            </w:r>
          </w:p>
        </w:tc>
        <w:tc>
          <w:tcPr>
            <w:tcW w:w="1113"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3A1621C4">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1350</w:t>
            </w:r>
          </w:p>
        </w:tc>
        <w:tc>
          <w:tcPr>
            <w:tcW w:w="156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78194A87">
            <w:pPr>
              <w:widowControl/>
              <w:spacing w:beforeAutospacing="1" w:afterAutospacing="1"/>
              <w:jc w:val="center"/>
              <w:rPr>
                <w:rFonts w:hint="eastAsia" w:ascii="宋体" w:hAnsi="宋体" w:eastAsia="宋体" w:cs="宋体"/>
                <w:color w:val="333333"/>
                <w:kern w:val="0"/>
                <w:sz w:val="21"/>
                <w:szCs w:val="21"/>
              </w:rPr>
            </w:pPr>
          </w:p>
        </w:tc>
        <w:tc>
          <w:tcPr>
            <w:tcW w:w="1331"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0E12090F">
            <w:pPr>
              <w:widowControl/>
              <w:spacing w:beforeAutospacing="1" w:afterAutospacing="1"/>
              <w:jc w:val="center"/>
              <w:rPr>
                <w:rFonts w:hint="eastAsia" w:ascii="宋体" w:hAnsi="宋体" w:eastAsia="宋体" w:cs="宋体"/>
                <w:color w:val="333333"/>
                <w:kern w:val="0"/>
                <w:sz w:val="21"/>
                <w:szCs w:val="21"/>
              </w:rPr>
            </w:pPr>
            <w:r>
              <w:rPr>
                <w:rFonts w:hint="eastAsia" w:ascii="宋体" w:hAnsi="宋体" w:eastAsia="宋体" w:cs="宋体"/>
                <w:color w:val="333333"/>
                <w:kern w:val="0"/>
                <w:sz w:val="21"/>
                <w:szCs w:val="21"/>
              </w:rPr>
              <w:t>01阴茎包皮系带延长</w:t>
            </w:r>
          </w:p>
        </w:tc>
        <w:tc>
          <w:tcPr>
            <w:tcW w:w="1789"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1BE7236">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auto" w:sz="4" w:space="0"/>
              <w:right w:val="single" w:color="000000" w:sz="8" w:space="0"/>
            </w:tcBorders>
            <w:tcMar>
              <w:top w:w="0" w:type="dxa"/>
              <w:left w:w="108" w:type="dxa"/>
              <w:bottom w:w="0" w:type="dxa"/>
              <w:right w:w="108" w:type="dxa"/>
            </w:tcMar>
            <w:vAlign w:val="center"/>
          </w:tcPr>
          <w:p w14:paraId="5879C1E4">
            <w:pPr>
              <w:widowControl/>
              <w:spacing w:beforeAutospacing="1" w:afterAutospacing="1"/>
              <w:jc w:val="center"/>
              <w:rPr>
                <w:rFonts w:hint="eastAsia" w:ascii="宋体" w:hAnsi="宋体" w:eastAsia="宋体" w:cs="宋体"/>
                <w:color w:val="333333"/>
                <w:kern w:val="0"/>
                <w:sz w:val="21"/>
                <w:szCs w:val="21"/>
                <w:lang w:eastAsia="zh-CN"/>
              </w:rPr>
            </w:pPr>
          </w:p>
        </w:tc>
      </w:tr>
      <w:tr w14:paraId="35DC91C0">
        <w:tblPrEx>
          <w:tblCellMar>
            <w:top w:w="0" w:type="dxa"/>
            <w:left w:w="0" w:type="dxa"/>
            <w:bottom w:w="0" w:type="dxa"/>
            <w:right w:w="0" w:type="dxa"/>
          </w:tblCellMar>
        </w:tblPrEx>
        <w:trPr>
          <w:trHeight w:val="1640" w:hRule="atLeast"/>
          <w:jc w:val="center"/>
        </w:trPr>
        <w:tc>
          <w:tcPr>
            <w:tcW w:w="639" w:type="dxa"/>
            <w:tcBorders>
              <w:top w:val="single" w:color="auto" w:sz="4"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F4DA4CF">
            <w:pPr>
              <w:widowControl/>
              <w:spacing w:beforeAutospacing="1" w:afterAutospacing="1"/>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17</w:t>
            </w:r>
          </w:p>
        </w:tc>
        <w:tc>
          <w:tcPr>
            <w:tcW w:w="1162" w:type="dxa"/>
            <w:tcBorders>
              <w:top w:val="single" w:color="auto" w:sz="4" w:space="0"/>
              <w:left w:val="nil"/>
              <w:bottom w:val="single" w:color="000000" w:sz="8" w:space="0"/>
              <w:right w:val="single" w:color="000000" w:sz="8" w:space="0"/>
            </w:tcBorders>
            <w:tcMar>
              <w:top w:w="0" w:type="dxa"/>
              <w:left w:w="108" w:type="dxa"/>
              <w:bottom w:w="0" w:type="dxa"/>
              <w:right w:w="108" w:type="dxa"/>
            </w:tcMar>
            <w:vAlign w:val="center"/>
          </w:tcPr>
          <w:p w14:paraId="56C01AB1">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016200000840100T</w:t>
            </w:r>
          </w:p>
        </w:tc>
        <w:tc>
          <w:tcPr>
            <w:tcW w:w="1234" w:type="dxa"/>
            <w:tcBorders>
              <w:top w:val="single" w:color="auto" w:sz="4" w:space="0"/>
              <w:left w:val="nil"/>
              <w:bottom w:val="single" w:color="000000" w:sz="8" w:space="0"/>
              <w:right w:val="single" w:color="000000" w:sz="8" w:space="0"/>
            </w:tcBorders>
            <w:tcMar>
              <w:top w:w="0" w:type="dxa"/>
              <w:left w:w="108" w:type="dxa"/>
              <w:bottom w:w="0" w:type="dxa"/>
              <w:right w:w="108" w:type="dxa"/>
            </w:tcMar>
            <w:vAlign w:val="center"/>
          </w:tcPr>
          <w:p w14:paraId="4A8C5208">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包皮整形费-阴茎包皮系带延长（扩展）</w:t>
            </w:r>
          </w:p>
        </w:tc>
        <w:tc>
          <w:tcPr>
            <w:tcW w:w="1779" w:type="dxa"/>
            <w:tcBorders>
              <w:top w:val="single" w:color="auto" w:sz="4" w:space="0"/>
              <w:left w:val="nil"/>
              <w:bottom w:val="single" w:color="000000" w:sz="8" w:space="0"/>
              <w:right w:val="single" w:color="000000" w:sz="8" w:space="0"/>
            </w:tcBorders>
            <w:tcMar>
              <w:top w:w="0" w:type="dxa"/>
              <w:left w:w="108" w:type="dxa"/>
              <w:bottom w:w="0" w:type="dxa"/>
              <w:right w:w="108" w:type="dxa"/>
            </w:tcMar>
            <w:vAlign w:val="center"/>
          </w:tcPr>
          <w:p w14:paraId="50D3A3BF">
            <w:pPr>
              <w:widowControl/>
              <w:spacing w:beforeAutospacing="1" w:afterAutospacing="1"/>
              <w:jc w:val="left"/>
              <w:textAlignment w:val="center"/>
              <w:rPr>
                <w:rFonts w:hint="eastAsia" w:ascii="宋体" w:hAnsi="宋体" w:eastAsia="宋体" w:cs="宋体"/>
                <w:kern w:val="0"/>
                <w:sz w:val="21"/>
                <w:szCs w:val="21"/>
              </w:rPr>
            </w:pPr>
          </w:p>
        </w:tc>
        <w:tc>
          <w:tcPr>
            <w:tcW w:w="2517" w:type="dxa"/>
            <w:tcBorders>
              <w:top w:val="single" w:color="auto" w:sz="4" w:space="0"/>
              <w:left w:val="nil"/>
              <w:bottom w:val="single" w:color="000000" w:sz="8" w:space="0"/>
              <w:right w:val="single" w:color="000000" w:sz="8" w:space="0"/>
            </w:tcBorders>
            <w:tcMar>
              <w:top w:w="0" w:type="dxa"/>
              <w:left w:w="108" w:type="dxa"/>
              <w:bottom w:w="0" w:type="dxa"/>
              <w:right w:w="108" w:type="dxa"/>
            </w:tcMar>
            <w:vAlign w:val="center"/>
          </w:tcPr>
          <w:p w14:paraId="3E987770">
            <w:pPr>
              <w:widowControl/>
              <w:spacing w:beforeAutospacing="1" w:afterAutospacing="1"/>
              <w:jc w:val="center"/>
              <w:rPr>
                <w:rFonts w:hint="eastAsia" w:ascii="宋体" w:hAnsi="宋体" w:eastAsia="宋体" w:cs="宋体"/>
                <w:kern w:val="0"/>
                <w:sz w:val="21"/>
                <w:szCs w:val="21"/>
              </w:rPr>
            </w:pPr>
          </w:p>
        </w:tc>
        <w:tc>
          <w:tcPr>
            <w:tcW w:w="799" w:type="dxa"/>
            <w:tcBorders>
              <w:top w:val="single" w:color="auto" w:sz="4" w:space="0"/>
              <w:left w:val="nil"/>
              <w:bottom w:val="single" w:color="000000" w:sz="8" w:space="0"/>
              <w:right w:val="single" w:color="000000" w:sz="8" w:space="0"/>
            </w:tcBorders>
            <w:noWrap/>
            <w:tcMar>
              <w:top w:w="0" w:type="dxa"/>
              <w:left w:w="108" w:type="dxa"/>
              <w:bottom w:w="0" w:type="dxa"/>
              <w:right w:w="108" w:type="dxa"/>
            </w:tcMar>
            <w:vAlign w:val="center"/>
          </w:tcPr>
          <w:p w14:paraId="5C546532">
            <w:pPr>
              <w:widowControl/>
              <w:spacing w:beforeAutospacing="1" w:afterAutospacing="1"/>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rPr>
              <w:t>次</w:t>
            </w:r>
          </w:p>
        </w:tc>
        <w:tc>
          <w:tcPr>
            <w:tcW w:w="1113" w:type="dxa"/>
            <w:tcBorders>
              <w:top w:val="single" w:color="auto" w:sz="4" w:space="0"/>
              <w:left w:val="nil"/>
              <w:bottom w:val="single" w:color="000000" w:sz="8" w:space="0"/>
              <w:right w:val="single" w:color="000000" w:sz="8" w:space="0"/>
            </w:tcBorders>
            <w:tcMar>
              <w:top w:w="0" w:type="dxa"/>
              <w:left w:w="108" w:type="dxa"/>
              <w:bottom w:w="0" w:type="dxa"/>
              <w:right w:w="108" w:type="dxa"/>
            </w:tcMar>
            <w:vAlign w:val="center"/>
          </w:tcPr>
          <w:p w14:paraId="0B8E9203">
            <w:pPr>
              <w:widowControl/>
              <w:spacing w:beforeAutospacing="1" w:afterAutospacing="1"/>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1350</w:t>
            </w:r>
          </w:p>
        </w:tc>
        <w:tc>
          <w:tcPr>
            <w:tcW w:w="1561" w:type="dxa"/>
            <w:tcBorders>
              <w:top w:val="single" w:color="auto" w:sz="4" w:space="0"/>
              <w:left w:val="nil"/>
              <w:bottom w:val="single" w:color="000000" w:sz="8" w:space="0"/>
              <w:right w:val="single" w:color="000000" w:sz="8" w:space="0"/>
            </w:tcBorders>
            <w:tcMar>
              <w:top w:w="0" w:type="dxa"/>
              <w:left w:w="108" w:type="dxa"/>
              <w:bottom w:w="0" w:type="dxa"/>
              <w:right w:w="108" w:type="dxa"/>
            </w:tcMar>
            <w:vAlign w:val="center"/>
          </w:tcPr>
          <w:p w14:paraId="5BA327BC">
            <w:pPr>
              <w:widowControl/>
              <w:spacing w:beforeAutospacing="1" w:afterAutospacing="1"/>
              <w:jc w:val="center"/>
              <w:rPr>
                <w:rFonts w:hint="eastAsia" w:ascii="宋体" w:hAnsi="宋体" w:eastAsia="宋体" w:cs="宋体"/>
                <w:color w:val="333333"/>
                <w:kern w:val="0"/>
                <w:sz w:val="21"/>
                <w:szCs w:val="21"/>
              </w:rPr>
            </w:pPr>
          </w:p>
        </w:tc>
        <w:tc>
          <w:tcPr>
            <w:tcW w:w="1331" w:type="dxa"/>
            <w:tcBorders>
              <w:top w:val="single" w:color="auto" w:sz="4" w:space="0"/>
              <w:left w:val="nil"/>
              <w:bottom w:val="single" w:color="000000" w:sz="8" w:space="0"/>
              <w:right w:val="single" w:color="000000" w:sz="8" w:space="0"/>
            </w:tcBorders>
            <w:tcMar>
              <w:top w:w="0" w:type="dxa"/>
              <w:left w:w="108" w:type="dxa"/>
              <w:bottom w:w="0" w:type="dxa"/>
              <w:right w:w="108" w:type="dxa"/>
            </w:tcMar>
            <w:vAlign w:val="center"/>
          </w:tcPr>
          <w:p w14:paraId="63A6F8D7">
            <w:pPr>
              <w:widowControl/>
              <w:spacing w:beforeAutospacing="1" w:afterAutospacing="1"/>
              <w:jc w:val="center"/>
              <w:rPr>
                <w:rFonts w:hint="eastAsia" w:ascii="宋体" w:hAnsi="宋体" w:eastAsia="宋体" w:cs="宋体"/>
                <w:color w:val="333333"/>
                <w:kern w:val="0"/>
                <w:sz w:val="21"/>
                <w:szCs w:val="21"/>
              </w:rPr>
            </w:pPr>
          </w:p>
        </w:tc>
        <w:tc>
          <w:tcPr>
            <w:tcW w:w="1789" w:type="dxa"/>
            <w:tcBorders>
              <w:top w:val="single" w:color="auto" w:sz="4" w:space="0"/>
              <w:left w:val="nil"/>
              <w:bottom w:val="single" w:color="000000" w:sz="8" w:space="0"/>
              <w:right w:val="single" w:color="000000" w:sz="8" w:space="0"/>
            </w:tcBorders>
            <w:tcMar>
              <w:top w:w="0" w:type="dxa"/>
              <w:left w:w="108" w:type="dxa"/>
              <w:bottom w:w="0" w:type="dxa"/>
              <w:right w:w="108" w:type="dxa"/>
            </w:tcMar>
            <w:vAlign w:val="center"/>
          </w:tcPr>
          <w:p w14:paraId="7CEDAF46">
            <w:pPr>
              <w:widowControl/>
              <w:spacing w:beforeAutospacing="1" w:afterAutospacing="1"/>
              <w:jc w:val="center"/>
              <w:rPr>
                <w:rFonts w:hint="eastAsia" w:ascii="宋体" w:hAnsi="宋体" w:eastAsia="宋体" w:cs="宋体"/>
                <w:color w:val="333333"/>
                <w:kern w:val="0"/>
                <w:sz w:val="21"/>
                <w:szCs w:val="21"/>
              </w:rPr>
            </w:pPr>
          </w:p>
        </w:tc>
        <w:tc>
          <w:tcPr>
            <w:tcW w:w="895" w:type="dxa"/>
            <w:tcBorders>
              <w:top w:val="single" w:color="auto" w:sz="4" w:space="0"/>
              <w:left w:val="nil"/>
              <w:bottom w:val="single" w:color="000000" w:sz="8" w:space="0"/>
              <w:right w:val="single" w:color="000000" w:sz="8" w:space="0"/>
            </w:tcBorders>
            <w:tcMar>
              <w:top w:w="0" w:type="dxa"/>
              <w:left w:w="108" w:type="dxa"/>
              <w:bottom w:w="0" w:type="dxa"/>
              <w:right w:w="108" w:type="dxa"/>
            </w:tcMar>
            <w:vAlign w:val="center"/>
          </w:tcPr>
          <w:p w14:paraId="2553B412">
            <w:pPr>
              <w:widowControl/>
              <w:spacing w:beforeAutospacing="1" w:afterAutospacing="1"/>
              <w:jc w:val="center"/>
              <w:rPr>
                <w:rFonts w:hint="eastAsia" w:ascii="宋体" w:hAnsi="宋体" w:eastAsia="宋体" w:cs="宋体"/>
                <w:color w:val="333333"/>
                <w:kern w:val="0"/>
                <w:sz w:val="21"/>
                <w:szCs w:val="21"/>
                <w:lang w:eastAsia="zh-CN"/>
              </w:rPr>
            </w:pPr>
          </w:p>
        </w:tc>
      </w:tr>
    </w:tbl>
    <w:p w14:paraId="58797455">
      <w:pPr>
        <w:pStyle w:val="10"/>
        <w:keepNext/>
        <w:keepLines/>
        <w:spacing w:after="460"/>
        <w:jc w:val="both"/>
        <w:rPr>
          <w:rFonts w:hint="eastAsia" w:ascii="黑体" w:hAnsi="黑体" w:eastAsia="黑体" w:cs="黑体"/>
          <w:color w:val="000000"/>
          <w:sz w:val="21"/>
          <w:szCs w:val="21"/>
          <w:lang w:val="en-US" w:eastAsia="zh-CN"/>
        </w:rPr>
      </w:pPr>
    </w:p>
    <w:p w14:paraId="6022F3A3">
      <w:pPr>
        <w:pStyle w:val="12"/>
        <w:numPr>
          <w:ilvl w:val="0"/>
          <w:numId w:val="1"/>
        </w:numPr>
        <w:tabs>
          <w:tab w:val="left" w:pos="344"/>
        </w:tabs>
        <w:spacing w:line="569" w:lineRule="exact"/>
        <w:ind w:hanging="300"/>
        <w:jc w:val="left"/>
        <w:rPr>
          <w:sz w:val="21"/>
          <w:szCs w:val="21"/>
        </w:rPr>
      </w:pPr>
      <w:r>
        <w:rPr>
          <w:color w:val="000000"/>
          <w:sz w:val="21"/>
          <w:szCs w:val="21"/>
        </w:rPr>
        <w:t>本医疗机构承诺新增医疗服务项目遵照卫生健康部门关于医疗服务项目的技术规范和管理要求，以及卫生健康部门对新增医疗服务项 目涉及的试剂、耗材和设备等资质及市场准入等资格的相关规定；</w:t>
      </w:r>
    </w:p>
    <w:p w14:paraId="769E32F9">
      <w:pPr>
        <w:pStyle w:val="12"/>
        <w:numPr>
          <w:ilvl w:val="0"/>
          <w:numId w:val="1"/>
        </w:numPr>
        <w:tabs>
          <w:tab w:val="left" w:pos="344"/>
        </w:tabs>
        <w:spacing w:line="569" w:lineRule="exact"/>
        <w:ind w:left="0" w:firstLine="0"/>
        <w:jc w:val="left"/>
        <w:rPr>
          <w:sz w:val="21"/>
          <w:szCs w:val="21"/>
        </w:rPr>
      </w:pPr>
      <w:r>
        <w:rPr>
          <w:color w:val="000000"/>
          <w:sz w:val="21"/>
          <w:szCs w:val="21"/>
        </w:rPr>
        <w:t>本医疗机构承诺开展的新增医疗服务项目价格不高于外省（自治区、直辖市）该项目的现行最低价格。</w:t>
      </w:r>
    </w:p>
    <w:p w14:paraId="3DABB370">
      <w:pPr>
        <w:pStyle w:val="12"/>
        <w:tabs>
          <w:tab w:val="left" w:pos="4032"/>
          <w:tab w:val="left" w:pos="9230"/>
        </w:tabs>
        <w:spacing w:after="540" w:line="569" w:lineRule="exact"/>
        <w:ind w:left="0" w:firstLine="0"/>
        <w:jc w:val="left"/>
        <w:rPr>
          <w:sz w:val="21"/>
          <w:szCs w:val="21"/>
        </w:rPr>
        <w:sectPr>
          <w:footerReference r:id="rId5" w:type="default"/>
          <w:footerReference r:id="rId6" w:type="even"/>
          <w:pgSz w:w="16840" w:h="11900" w:orient="landscape"/>
          <w:pgMar w:top="1270" w:right="1332" w:bottom="1032" w:left="1346" w:header="1128" w:footer="3" w:gutter="0"/>
          <w:cols w:space="720" w:num="1"/>
          <w:docGrid w:linePitch="360" w:charSpace="0"/>
        </w:sectPr>
      </w:pPr>
      <w:r>
        <w:rPr>
          <w:color w:val="000000"/>
          <w:sz w:val="21"/>
          <w:szCs w:val="21"/>
        </w:rPr>
        <w:t>公示时间：</w:t>
      </w:r>
      <w:r>
        <w:rPr>
          <w:rFonts w:hint="eastAsia"/>
          <w:color w:val="000000"/>
          <w:sz w:val="21"/>
          <w:szCs w:val="21"/>
          <w:lang w:val="en-US" w:eastAsia="zh-CN"/>
        </w:rPr>
        <w:t xml:space="preserve">2026 年 4 月3 日至2026 年 4 月10 日            </w:t>
      </w:r>
      <w:r>
        <w:rPr>
          <w:color w:val="000000"/>
          <w:sz w:val="21"/>
          <w:szCs w:val="21"/>
        </w:rPr>
        <w:t>公示单位电话：</w:t>
      </w:r>
      <w:r>
        <w:rPr>
          <w:rFonts w:hint="eastAsia"/>
          <w:color w:val="000000"/>
          <w:sz w:val="21"/>
          <w:szCs w:val="21"/>
          <w:lang w:val="en-US" w:eastAsia="zh-CN"/>
        </w:rPr>
        <w:t>0778-3216818</w:t>
      </w:r>
      <w:r>
        <w:rPr>
          <w:color w:val="000000"/>
          <w:sz w:val="21"/>
          <w:szCs w:val="21"/>
        </w:rPr>
        <w:tab/>
      </w:r>
      <w:r>
        <w:rPr>
          <w:color w:val="000000"/>
          <w:sz w:val="21"/>
          <w:szCs w:val="21"/>
        </w:rPr>
        <w:t>监督电话：</w:t>
      </w:r>
      <w:r>
        <w:rPr>
          <w:rFonts w:ascii="Times New Roman" w:hAnsi="Times New Roman" w:eastAsia="Times New Roman" w:cs="Times New Roman"/>
          <w:color w:val="000000"/>
          <w:sz w:val="21"/>
          <w:szCs w:val="21"/>
        </w:rPr>
        <w:t>12315</w:t>
      </w:r>
    </w:p>
    <w:p w14:paraId="00BB51FE">
      <w:pPr>
        <w:spacing w:line="500" w:lineRule="exact"/>
        <w:rPr>
          <w:rFonts w:asciiTheme="minorEastAsia" w:hAnsiTheme="minorEastAsia"/>
          <w:sz w:val="21"/>
          <w:szCs w:val="21"/>
          <w:lang w:eastAsia="zh-TW"/>
        </w:rPr>
      </w:pPr>
    </w:p>
    <w:sectPr>
      <w:pgSz w:w="16838" w:h="11906" w:orient="landscape"/>
      <w:pgMar w:top="1134" w:right="1440" w:bottom="1134"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1FE3F">
    <w:pPr>
      <w:spacing w:line="1" w:lineRule="exact"/>
    </w:pPr>
    <w:r>
      <mc:AlternateContent>
        <mc:Choice Requires="wps">
          <w:drawing>
            <wp:anchor distT="0" distB="0" distL="114300" distR="114300" simplePos="0" relativeHeight="251659264" behindDoc="1" locked="0" layoutInCell="1" allowOverlap="1">
              <wp:simplePos x="0" y="0"/>
              <wp:positionH relativeFrom="page">
                <wp:posOffset>9600565</wp:posOffset>
              </wp:positionH>
              <wp:positionV relativeFrom="page">
                <wp:posOffset>6543040</wp:posOffset>
              </wp:positionV>
              <wp:extent cx="68580" cy="123190"/>
              <wp:effectExtent l="0" t="0" r="0" b="0"/>
              <wp:wrapNone/>
              <wp:docPr id="7" name="Shape 7"/>
              <wp:cNvGraphicFramePr/>
              <a:graphic xmlns:a="http://schemas.openxmlformats.org/drawingml/2006/main">
                <a:graphicData uri="http://schemas.microsoft.com/office/word/2010/wordprocessingShape">
                  <wps:wsp>
                    <wps:cNvSpPr txBox="1"/>
                    <wps:spPr>
                      <a:xfrm>
                        <a:off x="0" y="0"/>
                        <a:ext cx="68580" cy="123190"/>
                      </a:xfrm>
                      <a:prstGeom prst="rect">
                        <a:avLst/>
                      </a:prstGeom>
                      <a:noFill/>
                      <a:ln>
                        <a:noFill/>
                      </a:ln>
                      <a:effectLst/>
                    </wps:spPr>
                    <wps:txbx>
                      <w:txbxContent>
                        <w:p w14:paraId="693F6329">
                          <w:pPr>
                            <w:pStyle w:val="13"/>
                            <w:jc w:val="left"/>
                            <w:rPr>
                              <w:sz w:val="28"/>
                              <w:szCs w:val="28"/>
                            </w:rPr>
                          </w:pPr>
                          <w:r>
                            <w:fldChar w:fldCharType="begin"/>
                          </w:r>
                          <w:r>
                            <w:instrText xml:space="preserve"> PAGE \* MERGEFORMAT </w:instrText>
                          </w:r>
                          <w:r>
                            <w:fldChar w:fldCharType="separate"/>
                          </w:r>
                          <w:r>
                            <w:rPr>
                              <w:rFonts w:ascii="Times New Roman" w:hAnsi="Times New Roman" w:eastAsia="Times New Roman" w:cs="Times New Roman"/>
                              <w:color w:val="000000"/>
                              <w:sz w:val="28"/>
                              <w:szCs w:val="28"/>
                            </w:rPr>
                            <w:t>1</w:t>
                          </w:r>
                          <w:r>
                            <w:rPr>
                              <w:rFonts w:ascii="Times New Roman" w:hAnsi="Times New Roman" w:eastAsia="Times New Roman" w:cs="Times New Roman"/>
                              <w:color w:val="000000"/>
                              <w:sz w:val="28"/>
                              <w:szCs w:val="28"/>
                            </w:rPr>
                            <w:fldChar w:fldCharType="end"/>
                          </w:r>
                        </w:p>
                      </w:txbxContent>
                    </wps:txbx>
                    <wps:bodyPr wrap="none" lIns="0" tIns="0" rIns="0" bIns="0">
                      <a:spAutoFit/>
                    </wps:bodyPr>
                  </wps:wsp>
                </a:graphicData>
              </a:graphic>
            </wp:anchor>
          </w:drawing>
        </mc:Choice>
        <mc:Fallback>
          <w:pict>
            <v:shape id="Shape 7" o:spid="_x0000_s1026" o:spt="202" type="#_x0000_t202" style="position:absolute;left:0pt;margin-left:755.95pt;margin-top:515.2pt;height:9.7pt;width:5.4pt;mso-position-horizontal-relative:page;mso-position-vertical-relative:page;mso-wrap-style:none;z-index:-251657216;mso-width-relative:page;mso-height-relative:page;" filled="f" stroked="f" coordsize="21600,21600" o:gfxdata="UEsDBAoAAAAAAIdO4kAAAAAAAAAAAAAAAAAEAAAAZHJzL1BLAwQUAAAACACHTuJAjJ2ldtkAAAAP&#10;AQAADwAAAGRycy9kb3ducmV2LnhtbE2PMU/DMBCFdyT+g3VIbNROaGka4nSoxMJGqZDY3PgaR8R2&#10;ZLtp8u+5TLDdu3t6971qP9mejRhi552EbCWAoWu87lwr4fT59lQAi0k5rXrvUMKMEfb1/V2lSu1v&#10;7gPHY2oZhbhYKgkmpaHkPDYGrYorP6Cj28UHqxLJ0HId1I3Cbc9zIV64VZ2jD0YNeDDY/ByvVsJ2&#10;+vI4RDzg92Vsgunmon+fpXx8yMQrsIRT+jPDgk/oUBPT2V+djqwnvcmyHXlpEs9iDWzxbPJ8C+y8&#10;7Na7Anhd8f896l9QSwMEFAAAAAgAh07iQLd5EoC6AQAAlAMAAA4AAABkcnMvZTJvRG9jLnhtbK1T&#10;TW/bMAy9D+h/EHRfnGRomxlxihZBhwHDNqDdD1BkKRYgiYKoxM6/HyU76ccuPewiUyT1yPdIr+8G&#10;Z9lRRTTgG76YzTlTXkJr/L7hf54fP684wyR8Kyx41fCTQn63ufq07kOtltCBbVVkBOKx7kPDu5RC&#10;XVUoO+UEziAoT0EN0YlE17iv2ih6Qne2Ws7nN1UPsQ0RpEIk73YM8gkxfgQQtDZSbUEenPJpRI3K&#10;ikSUsDMB+aZ0q7WS6ZfWqBKzDSemqZxUhOxdPqvNWtT7KEJn5NSC+EgL7zg5YTwVvUBtRRLsEM0/&#10;UM7ICAg6zSS4aiRSFCEWi/k7bZ46EVThQlJjuIiO/w9W/jz+jsy0Db/lzAtHAy9V2W2Wpg9YU8ZT&#10;oJw0PMBAC3P2Izkz40FHl7/EhVGchD1dhFVDYpKcN6vrFQUkRRbLL4uvRffq5W2ImL4pcCwbDY80&#10;tqKmOP7ARH1Q6jkll/LwaKwto7P+jYMSR48qs59eZxpju9lKw26YuO2gPRG1nubfcE/rzpn97kne&#10;vCpnI56N3WTkihjuD4naKN1l1BGKWs0XGlZpelqsvA2v7yXr5Wfa/A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MnaV22QAAAA8BAAAPAAAAAAAAAAEAIAAAACIAAABkcnMvZG93bnJldi54bWxQSwEC&#10;FAAUAAAACACHTuJAt3kSgLoBAACUAwAADgAAAAAAAAABACAAAAAoAQAAZHJzL2Uyb0RvYy54bWxQ&#10;SwUGAAAAAAYABgBZAQAAVAUAAAAA&#10;">
              <v:fill on="f" focussize="0,0"/>
              <v:stroke on="f"/>
              <v:imagedata o:title=""/>
              <o:lock v:ext="edit" aspectratio="f"/>
              <v:textbox inset="0mm,0mm,0mm,0mm" style="mso-fit-shape-to-text:t;">
                <w:txbxContent>
                  <w:p w14:paraId="693F6329">
                    <w:pPr>
                      <w:pStyle w:val="13"/>
                      <w:jc w:val="left"/>
                      <w:rPr>
                        <w:sz w:val="28"/>
                        <w:szCs w:val="28"/>
                      </w:rPr>
                    </w:pPr>
                    <w:r>
                      <w:fldChar w:fldCharType="begin"/>
                    </w:r>
                    <w:r>
                      <w:instrText xml:space="preserve"> PAGE \* MERGEFORMAT </w:instrText>
                    </w:r>
                    <w:r>
                      <w:fldChar w:fldCharType="separate"/>
                    </w:r>
                    <w:r>
                      <w:rPr>
                        <w:rFonts w:ascii="Times New Roman" w:hAnsi="Times New Roman" w:eastAsia="Times New Roman" w:cs="Times New Roman"/>
                        <w:color w:val="000000"/>
                        <w:sz w:val="28"/>
                        <w:szCs w:val="28"/>
                      </w:rPr>
                      <w:t>1</w:t>
                    </w:r>
                    <w:r>
                      <w:rPr>
                        <w:rFonts w:ascii="Times New Roman" w:hAnsi="Times New Roman" w:eastAsia="Times New Roman" w:cs="Times New Roman"/>
                        <w:color w:val="000000"/>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18BD0">
    <w:pPr>
      <w:spacing w:line="1" w:lineRule="exact"/>
    </w:pPr>
    <w:r>
      <mc:AlternateContent>
        <mc:Choice Requires="wps">
          <w:drawing>
            <wp:anchor distT="0" distB="0" distL="114300" distR="114300" simplePos="0" relativeHeight="251660288" behindDoc="1" locked="0" layoutInCell="1" allowOverlap="1">
              <wp:simplePos x="0" y="0"/>
              <wp:positionH relativeFrom="page">
                <wp:posOffset>9600565</wp:posOffset>
              </wp:positionH>
              <wp:positionV relativeFrom="page">
                <wp:posOffset>6543040</wp:posOffset>
              </wp:positionV>
              <wp:extent cx="68580" cy="123190"/>
              <wp:effectExtent l="0" t="0" r="0" b="0"/>
              <wp:wrapNone/>
              <wp:docPr id="9" name="Shape 9"/>
              <wp:cNvGraphicFramePr/>
              <a:graphic xmlns:a="http://schemas.openxmlformats.org/drawingml/2006/main">
                <a:graphicData uri="http://schemas.microsoft.com/office/word/2010/wordprocessingShape">
                  <wps:wsp>
                    <wps:cNvSpPr txBox="1"/>
                    <wps:spPr>
                      <a:xfrm>
                        <a:off x="0" y="0"/>
                        <a:ext cx="68580" cy="123190"/>
                      </a:xfrm>
                      <a:prstGeom prst="rect">
                        <a:avLst/>
                      </a:prstGeom>
                      <a:noFill/>
                      <a:ln>
                        <a:noFill/>
                      </a:ln>
                      <a:effectLst/>
                    </wps:spPr>
                    <wps:txbx>
                      <w:txbxContent>
                        <w:p w14:paraId="1E37719B">
                          <w:pPr>
                            <w:pStyle w:val="13"/>
                            <w:jc w:val="left"/>
                            <w:rPr>
                              <w:sz w:val="28"/>
                              <w:szCs w:val="28"/>
                            </w:rPr>
                          </w:pPr>
                          <w:r>
                            <w:fldChar w:fldCharType="begin"/>
                          </w:r>
                          <w:r>
                            <w:instrText xml:space="preserve"> PAGE \* MERGEFORMAT </w:instrText>
                          </w:r>
                          <w:r>
                            <w:fldChar w:fldCharType="separate"/>
                          </w:r>
                          <w:r>
                            <w:rPr>
                              <w:rFonts w:ascii="Times New Roman" w:hAnsi="Times New Roman" w:eastAsia="Times New Roman" w:cs="Times New Roman"/>
                              <w:color w:val="000000"/>
                              <w:sz w:val="28"/>
                              <w:szCs w:val="28"/>
                            </w:rPr>
                            <w:t>#</w:t>
                          </w:r>
                          <w:r>
                            <w:rPr>
                              <w:rFonts w:ascii="Times New Roman" w:hAnsi="Times New Roman" w:eastAsia="Times New Roman" w:cs="Times New Roman"/>
                              <w:color w:val="000000"/>
                              <w:sz w:val="28"/>
                              <w:szCs w:val="28"/>
                            </w:rPr>
                            <w:fldChar w:fldCharType="end"/>
                          </w:r>
                        </w:p>
                      </w:txbxContent>
                    </wps:txbx>
                    <wps:bodyPr wrap="none" lIns="0" tIns="0" rIns="0" bIns="0">
                      <a:spAutoFit/>
                    </wps:bodyPr>
                  </wps:wsp>
                </a:graphicData>
              </a:graphic>
            </wp:anchor>
          </w:drawing>
        </mc:Choice>
        <mc:Fallback>
          <w:pict>
            <v:shape id="Shape 9" o:spid="_x0000_s1026" o:spt="202" type="#_x0000_t202" style="position:absolute;left:0pt;margin-left:755.95pt;margin-top:515.2pt;height:9.7pt;width:5.4pt;mso-position-horizontal-relative:page;mso-position-vertical-relative:page;mso-wrap-style:none;z-index:-251656192;mso-width-relative:page;mso-height-relative:page;" filled="f" stroked="f" coordsize="21600,21600" o:gfxdata="UEsDBAoAAAAAAIdO4kAAAAAAAAAAAAAAAAAEAAAAZHJzL1BLAwQUAAAACACHTuJAjJ2ldtkAAAAP&#10;AQAADwAAAGRycy9kb3ducmV2LnhtbE2PMU/DMBCFdyT+g3VIbNROaGka4nSoxMJGqZDY3PgaR8R2&#10;ZLtp8u+5TLDdu3t6971qP9mejRhi552EbCWAoWu87lwr4fT59lQAi0k5rXrvUMKMEfb1/V2lSu1v&#10;7gPHY2oZhbhYKgkmpaHkPDYGrYorP6Cj28UHqxLJ0HId1I3Cbc9zIV64VZ2jD0YNeDDY/ByvVsJ2&#10;+vI4RDzg92Vsgunmon+fpXx8yMQrsIRT+jPDgk/oUBPT2V+djqwnvcmyHXlpEs9iDWzxbPJ8C+y8&#10;7Na7Anhd8f896l9QSwMEFAAAAAgAh07iQMLfX4q5AQAAlAMAAA4AAABkcnMvZTJvRG9jLnhtbK1T&#10;TW/bMAy9D+h/EHRvnKRYkRhxihVBiwHDNqDbD1BkKhagL4hK7Pz7UbKTdt2lh11kiqQe+R7pzcNg&#10;DTtBRO1dwxezOWfgpG+1OzT896+n2xVnmIRrhfEOGn4G5A/bm0+bPtSw9J03LURGIA7rPjS8SynU&#10;VYWyAytw5gM4CiofrUh0jYeqjaIndGuq5Xx+X/U+tiF6CYjk3Y1BPiHGjwB6pbSEnZdHCy6NqBGM&#10;SEQJOx2Qb0u3SoFMP5RCSMw0nJimclIRsvf5rLYbUR+iCJ2WUwviIy2842SFdlT0CrUTSbBj1P9A&#10;WS2jR6/STHpbjUSKIsRiMX+nzUsnAhQuJDWGq+j4/2Dl99PPyHTb8DVnTlgaeKnK1lmaPmBNGS+B&#10;ctLw6AdamIsfyZkZDyra/CUujOIk7PkqLAyJSXLerz6vKCApsljeLdZF9+r1bYiYnsFblo2GRxpb&#10;UVOcvmGiPij1kpJLOf+kjSmjM+4vByWOHiizn15nGmO72UrDfpi47X17Jmo9zb/hjtadM/PVkbx5&#10;VS5GvBj7ycgVMXw5JmqjdJdRRyhqNV9oWKXpabHyNry9l6zXn2n7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ydpXbZAAAADwEAAA8AAAAAAAAAAQAgAAAAIgAAAGRycy9kb3ducmV2LnhtbFBLAQIU&#10;ABQAAAAIAIdO4kDC31+KuQEAAJQDAAAOAAAAAAAAAAEAIAAAACgBAABkcnMvZTJvRG9jLnhtbFBL&#10;BQYAAAAABgAGAFkBAABTBQAAAAA=&#10;">
              <v:fill on="f" focussize="0,0"/>
              <v:stroke on="f"/>
              <v:imagedata o:title=""/>
              <o:lock v:ext="edit" aspectratio="f"/>
              <v:textbox inset="0mm,0mm,0mm,0mm" style="mso-fit-shape-to-text:t;">
                <w:txbxContent>
                  <w:p w14:paraId="1E37719B">
                    <w:pPr>
                      <w:pStyle w:val="13"/>
                      <w:jc w:val="left"/>
                      <w:rPr>
                        <w:sz w:val="28"/>
                        <w:szCs w:val="28"/>
                      </w:rPr>
                    </w:pPr>
                    <w:r>
                      <w:fldChar w:fldCharType="begin"/>
                    </w:r>
                    <w:r>
                      <w:instrText xml:space="preserve"> PAGE \* MERGEFORMAT </w:instrText>
                    </w:r>
                    <w:r>
                      <w:fldChar w:fldCharType="separate"/>
                    </w:r>
                    <w:r>
                      <w:rPr>
                        <w:rFonts w:ascii="Times New Roman" w:hAnsi="Times New Roman" w:eastAsia="Times New Roman" w:cs="Times New Roman"/>
                        <w:color w:val="000000"/>
                        <w:sz w:val="28"/>
                        <w:szCs w:val="28"/>
                      </w:rPr>
                      <w:t>#</w:t>
                    </w:r>
                    <w:r>
                      <w:rPr>
                        <w:rFonts w:ascii="Times New Roman" w:hAnsi="Times New Roman" w:eastAsia="Times New Roman" w:cs="Times New Roman"/>
                        <w:color w:val="000000"/>
                        <w:sz w:val="28"/>
                        <w:szCs w:val="2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4E5A4">
    <w:pPr>
      <w:spacing w:line="1" w:lineRule="exact"/>
    </w:pPr>
    <w:r>
      <mc:AlternateContent>
        <mc:Choice Requires="wps">
          <w:drawing>
            <wp:anchor distT="0" distB="0" distL="114300" distR="114300" simplePos="0" relativeHeight="251659264" behindDoc="1" locked="0" layoutInCell="1" allowOverlap="1">
              <wp:simplePos x="0" y="0"/>
              <wp:positionH relativeFrom="page">
                <wp:posOffset>9600565</wp:posOffset>
              </wp:positionH>
              <wp:positionV relativeFrom="page">
                <wp:posOffset>6543040</wp:posOffset>
              </wp:positionV>
              <wp:extent cx="68580" cy="123190"/>
              <wp:effectExtent l="0" t="0" r="0" b="0"/>
              <wp:wrapNone/>
              <wp:docPr id="1" name="Shape 7"/>
              <wp:cNvGraphicFramePr/>
              <a:graphic xmlns:a="http://schemas.openxmlformats.org/drawingml/2006/main">
                <a:graphicData uri="http://schemas.microsoft.com/office/word/2010/wordprocessingShape">
                  <wps:wsp>
                    <wps:cNvSpPr txBox="1"/>
                    <wps:spPr>
                      <a:xfrm>
                        <a:off x="0" y="0"/>
                        <a:ext cx="68580" cy="123190"/>
                      </a:xfrm>
                      <a:prstGeom prst="rect">
                        <a:avLst/>
                      </a:prstGeom>
                      <a:noFill/>
                      <a:ln>
                        <a:noFill/>
                      </a:ln>
                      <a:effectLst/>
                    </wps:spPr>
                    <wps:txbx>
                      <w:txbxContent>
                        <w:p w14:paraId="210461B4">
                          <w:pPr>
                            <w:pStyle w:val="13"/>
                            <w:jc w:val="left"/>
                            <w:rPr>
                              <w:sz w:val="28"/>
                              <w:szCs w:val="28"/>
                            </w:rPr>
                          </w:pPr>
                          <w:r>
                            <w:fldChar w:fldCharType="begin"/>
                          </w:r>
                          <w:r>
                            <w:instrText xml:space="preserve"> PAGE \* MERGEFORMAT </w:instrText>
                          </w:r>
                          <w:r>
                            <w:fldChar w:fldCharType="separate"/>
                          </w:r>
                          <w:r>
                            <w:rPr>
                              <w:rFonts w:ascii="Times New Roman" w:hAnsi="Times New Roman" w:eastAsia="Times New Roman" w:cs="Times New Roman"/>
                              <w:color w:val="000000"/>
                              <w:sz w:val="28"/>
                              <w:szCs w:val="28"/>
                            </w:rPr>
                            <w:t>1</w:t>
                          </w:r>
                          <w:r>
                            <w:rPr>
                              <w:rFonts w:ascii="Times New Roman" w:hAnsi="Times New Roman" w:eastAsia="Times New Roman" w:cs="Times New Roman"/>
                              <w:color w:val="000000"/>
                              <w:sz w:val="28"/>
                              <w:szCs w:val="28"/>
                            </w:rPr>
                            <w:fldChar w:fldCharType="end"/>
                          </w:r>
                        </w:p>
                      </w:txbxContent>
                    </wps:txbx>
                    <wps:bodyPr wrap="none" lIns="0" tIns="0" rIns="0" bIns="0">
                      <a:spAutoFit/>
                    </wps:bodyPr>
                  </wps:wsp>
                </a:graphicData>
              </a:graphic>
            </wp:anchor>
          </w:drawing>
        </mc:Choice>
        <mc:Fallback>
          <w:pict>
            <v:shape id="Shape 7" o:spid="_x0000_s1026" o:spt="202" type="#_x0000_t202" style="position:absolute;left:0pt;margin-left:755.95pt;margin-top:515.2pt;height:9.7pt;width:5.4pt;mso-position-horizontal-relative:page;mso-position-vertical-relative:page;mso-wrap-style:none;z-index:-251657216;mso-width-relative:page;mso-height-relative:page;" filled="f" stroked="f" coordsize="21600,21600" o:gfxdata="UEsDBAoAAAAAAIdO4kAAAAAAAAAAAAAAAAAEAAAAZHJzL1BLAwQUAAAACACHTuJAjJ2ldtkAAAAP&#10;AQAADwAAAGRycy9kb3ducmV2LnhtbE2PMU/DMBCFdyT+g3VIbNROaGka4nSoxMJGqZDY3PgaR8R2&#10;ZLtp8u+5TLDdu3t6971qP9mejRhi552EbCWAoWu87lwr4fT59lQAi0k5rXrvUMKMEfb1/V2lSu1v&#10;7gPHY2oZhbhYKgkmpaHkPDYGrYorP6Cj28UHqxLJ0HId1I3Cbc9zIV64VZ2jD0YNeDDY/ByvVsJ2&#10;+vI4RDzg92Vsgunmon+fpXx8yMQrsIRT+jPDgk/oUBPT2V+djqwnvcmyHXlpEs9iDWzxbPJ8C+y8&#10;7Na7Anhd8f896l9QSwMEFAAAAAgAh07iQPpAw/S4AQAAlAMAAA4AAABkcnMvZTJvRG9jLnhtbK1T&#10;UY/TMAx+R+I/RHln3YY4RrXuBJoOISFAOvgBWequkZI4irO1+/c4abeD4+UeeEkd2/ns77O7vR+d&#10;FWeIZNA3crVYSgFeY2v8sZG/fj682UhBSflWWfTQyAuQvN+9frUdQg1r7NG2EAWDeKqH0Mg+pVBX&#10;FekenKIFBvAc7DA6lfgaj1Ub1cDozlbr5fKuGjC2IaIGIvbup6CcEeNLALHrjIY96pMDnybUCFYl&#10;pkS9CSR3pduuA52+dx1BEraRzDSVk4uwfchntduq+hhV6I2eW1AvaeEZJ6eM56I3qL1KSpyi+QfK&#10;GR2RsEsLja6aiBRFmMVq+Uybx14FKFxYago30en/wepv5x9RmJY3QQqvHA+8VBXvszRDoJozHgPn&#10;pPETjjlt9hM7M+Oxiy5/mYvgOAt7uQkLYxKanXebdxsOaI6s1m9XH4ru1dPbECl9BnQiG42MPLai&#10;pjp/pcT1OPWakkt5fDDWltFZ/5eDEycPlNnPrzONqd1spfEwzhwO2F6Y2sDzb6TndZfCfvEsb16V&#10;qxGvxmE2ckUKH0+J2yjdZdQJilvNFx5WaXperLwNf95L1tPPtPs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jJ2ldtkAAAAPAQAADwAAAAAAAAABACAAAAAiAAAAZHJzL2Rvd25yZXYueG1sUEsBAhQA&#10;FAAAAAgAh07iQPpAw/S4AQAAlAMAAA4AAAAAAAAAAQAgAAAAKAEAAGRycy9lMm9Eb2MueG1sUEsF&#10;BgAAAAAGAAYAWQEAAFIFAAAAAA==&#10;">
              <v:fill on="f" focussize="0,0"/>
              <v:stroke on="f"/>
              <v:imagedata o:title=""/>
              <o:lock v:ext="edit" aspectratio="f"/>
              <v:textbox inset="0mm,0mm,0mm,0mm" style="mso-fit-shape-to-text:t;">
                <w:txbxContent>
                  <w:p w14:paraId="210461B4">
                    <w:pPr>
                      <w:pStyle w:val="13"/>
                      <w:jc w:val="left"/>
                      <w:rPr>
                        <w:sz w:val="28"/>
                        <w:szCs w:val="28"/>
                      </w:rPr>
                    </w:pPr>
                    <w:r>
                      <w:fldChar w:fldCharType="begin"/>
                    </w:r>
                    <w:r>
                      <w:instrText xml:space="preserve"> PAGE \* MERGEFORMAT </w:instrText>
                    </w:r>
                    <w:r>
                      <w:fldChar w:fldCharType="separate"/>
                    </w:r>
                    <w:r>
                      <w:rPr>
                        <w:rFonts w:ascii="Times New Roman" w:hAnsi="Times New Roman" w:eastAsia="Times New Roman" w:cs="Times New Roman"/>
                        <w:color w:val="000000"/>
                        <w:sz w:val="28"/>
                        <w:szCs w:val="28"/>
                      </w:rPr>
                      <w:t>1</w:t>
                    </w:r>
                    <w:r>
                      <w:rPr>
                        <w:rFonts w:ascii="Times New Roman" w:hAnsi="Times New Roman" w:eastAsia="Times New Roman" w:cs="Times New Roman"/>
                        <w:color w:val="000000"/>
                        <w:sz w:val="28"/>
                        <w:szCs w:val="2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CF24E">
    <w:pPr>
      <w:spacing w:line="1" w:lineRule="exact"/>
    </w:pPr>
    <w:r>
      <mc:AlternateContent>
        <mc:Choice Requires="wps">
          <w:drawing>
            <wp:anchor distT="0" distB="0" distL="114300" distR="114300" simplePos="0" relativeHeight="251660288" behindDoc="1" locked="0" layoutInCell="1" allowOverlap="1">
              <wp:simplePos x="0" y="0"/>
              <wp:positionH relativeFrom="page">
                <wp:posOffset>9600565</wp:posOffset>
              </wp:positionH>
              <wp:positionV relativeFrom="page">
                <wp:posOffset>6543040</wp:posOffset>
              </wp:positionV>
              <wp:extent cx="68580" cy="123190"/>
              <wp:effectExtent l="0" t="0" r="0" b="0"/>
              <wp:wrapNone/>
              <wp:docPr id="2" name="Shape 9"/>
              <wp:cNvGraphicFramePr/>
              <a:graphic xmlns:a="http://schemas.openxmlformats.org/drawingml/2006/main">
                <a:graphicData uri="http://schemas.microsoft.com/office/word/2010/wordprocessingShape">
                  <wps:wsp>
                    <wps:cNvSpPr txBox="1"/>
                    <wps:spPr>
                      <a:xfrm>
                        <a:off x="0" y="0"/>
                        <a:ext cx="68580" cy="123190"/>
                      </a:xfrm>
                      <a:prstGeom prst="rect">
                        <a:avLst/>
                      </a:prstGeom>
                      <a:noFill/>
                      <a:ln>
                        <a:noFill/>
                      </a:ln>
                      <a:effectLst/>
                    </wps:spPr>
                    <wps:txbx>
                      <w:txbxContent>
                        <w:p w14:paraId="73B1FCD3">
                          <w:pPr>
                            <w:pStyle w:val="13"/>
                            <w:jc w:val="left"/>
                            <w:rPr>
                              <w:sz w:val="28"/>
                              <w:szCs w:val="28"/>
                            </w:rPr>
                          </w:pPr>
                          <w:r>
                            <w:fldChar w:fldCharType="begin"/>
                          </w:r>
                          <w:r>
                            <w:instrText xml:space="preserve"> PAGE \* MERGEFORMAT </w:instrText>
                          </w:r>
                          <w:r>
                            <w:fldChar w:fldCharType="separate"/>
                          </w:r>
                          <w:r>
                            <w:rPr>
                              <w:rFonts w:ascii="Times New Roman" w:hAnsi="Times New Roman" w:eastAsia="Times New Roman" w:cs="Times New Roman"/>
                              <w:color w:val="000000"/>
                              <w:sz w:val="28"/>
                              <w:szCs w:val="28"/>
                            </w:rPr>
                            <w:t>#</w:t>
                          </w:r>
                          <w:r>
                            <w:rPr>
                              <w:rFonts w:ascii="Times New Roman" w:hAnsi="Times New Roman" w:eastAsia="Times New Roman" w:cs="Times New Roman"/>
                              <w:color w:val="000000"/>
                              <w:sz w:val="28"/>
                              <w:szCs w:val="28"/>
                            </w:rPr>
                            <w:fldChar w:fldCharType="end"/>
                          </w:r>
                        </w:p>
                      </w:txbxContent>
                    </wps:txbx>
                    <wps:bodyPr wrap="none" lIns="0" tIns="0" rIns="0" bIns="0">
                      <a:spAutoFit/>
                    </wps:bodyPr>
                  </wps:wsp>
                </a:graphicData>
              </a:graphic>
            </wp:anchor>
          </w:drawing>
        </mc:Choice>
        <mc:Fallback>
          <w:pict>
            <v:shape id="Shape 9" o:spid="_x0000_s1026" o:spt="202" type="#_x0000_t202" style="position:absolute;left:0pt;margin-left:755.95pt;margin-top:515.2pt;height:9.7pt;width:5.4pt;mso-position-horizontal-relative:page;mso-position-vertical-relative:page;mso-wrap-style:none;z-index:-251656192;mso-width-relative:page;mso-height-relative:page;" filled="f" stroked="f" coordsize="21600,21600" o:gfxdata="UEsDBAoAAAAAAIdO4kAAAAAAAAAAAAAAAAAEAAAAZHJzL1BLAwQUAAAACACHTuJAjJ2ldtkAAAAP&#10;AQAADwAAAGRycy9kb3ducmV2LnhtbE2PMU/DMBCFdyT+g3VIbNROaGka4nSoxMJGqZDY3PgaR8R2&#10;ZLtp8u+5TLDdu3t6971qP9mejRhi552EbCWAoWu87lwr4fT59lQAi0k5rXrvUMKMEfb1/V2lSu1v&#10;7gPHY2oZhbhYKgkmpaHkPDYGrYorP6Cj28UHqxLJ0HId1I3Cbc9zIV64VZ2jD0YNeDDY/ByvVsJ2&#10;+vI4RDzg92Vsgunmon+fpXx8yMQrsIRT+jPDgk/oUBPT2V+djqwnvcmyHXlpEs9iDWzxbPJ8C+y8&#10;7Na7Anhd8f896l9QSwMEFAAAAAgAh07iQKics+y5AQAAlAMAAA4AAABkcnMvZTJvRG9jLnhtbK1T&#10;UY/TMAx+R+I/RHln3YY47ap1J9B0CAkB0sEPyFJ3jZTEUZyt3b/HSbsdHC/3wEvq2M5nf5/d7cPo&#10;rDhDJIO+kavFUgrwGlvjj4389fPx3UYKSsq3yqKHRl6A5MPu7ZvtEGpYY4+2hSgYxFM9hEb2KYW6&#10;qkj34BQtMIDnYIfRqcTXeKzaqAZGd7ZaL5d31YCxDRE1ELF3PwXljBhfA4hdZzTsUZ8c+DShRrAq&#10;MSXqTSC5K912Hej0vesIkrCNZKapnFyE7UM+q91W1ceoQm/03IJ6TQsvODllPBe9Qe1VUuIUzT9Q&#10;zuiIhF1aaHTVRKQowixWyxfaPPUqQOHCUlO4iU7/D1Z/O/+IwrSNXEvhleOBl6riPkszBKo54ylw&#10;Tho/4cgLc/UTOzPjsYsuf5mL4DgLe7kJC2MSmp13mw8bDmiOrNbvV/dF9+r5bYiUPgM6kY1GRh5b&#10;UVOdv1LiPjj1mpJLeXw01pbRWf+XgxMnD5TZz68zjandbKXxMM7cDthemNrA82+k53WXwn7xLG9e&#10;lasRr8ZhNnJFCh9Pidso3WXUCYpbzRceVml6Xqy8DX/eS9bzz7T7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ydpXbZAAAADwEAAA8AAAAAAAAAAQAgAAAAIgAAAGRycy9kb3ducmV2LnhtbFBLAQIU&#10;ABQAAAAIAIdO4kConLPsuQEAAJQDAAAOAAAAAAAAAAEAIAAAACgBAABkcnMvZTJvRG9jLnhtbFBL&#10;BQYAAAAABgAGAFkBAABTBQAAAAA=&#10;">
              <v:fill on="f" focussize="0,0"/>
              <v:stroke on="f"/>
              <v:imagedata o:title=""/>
              <o:lock v:ext="edit" aspectratio="f"/>
              <v:textbox inset="0mm,0mm,0mm,0mm" style="mso-fit-shape-to-text:t;">
                <w:txbxContent>
                  <w:p w14:paraId="73B1FCD3">
                    <w:pPr>
                      <w:pStyle w:val="13"/>
                      <w:jc w:val="left"/>
                      <w:rPr>
                        <w:sz w:val="28"/>
                        <w:szCs w:val="28"/>
                      </w:rPr>
                    </w:pPr>
                    <w:r>
                      <w:fldChar w:fldCharType="begin"/>
                    </w:r>
                    <w:r>
                      <w:instrText xml:space="preserve"> PAGE \* MERGEFORMAT </w:instrText>
                    </w:r>
                    <w:r>
                      <w:fldChar w:fldCharType="separate"/>
                    </w:r>
                    <w:r>
                      <w:rPr>
                        <w:rFonts w:ascii="Times New Roman" w:hAnsi="Times New Roman" w:eastAsia="Times New Roman" w:cs="Times New Roman"/>
                        <w:color w:val="000000"/>
                        <w:sz w:val="28"/>
                        <w:szCs w:val="28"/>
                      </w:rPr>
                      <w:t>#</w:t>
                    </w:r>
                    <w:r>
                      <w:rPr>
                        <w:rFonts w:ascii="Times New Roman" w:hAnsi="Times New Roman" w:eastAsia="Times New Roman" w:cs="Times New Roman"/>
                        <w:color w:val="000000"/>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shd w:val="clear" w:color="auto" w:fill="auto"/>
        <w:lang w:val="zh-TW" w:eastAsia="zh-TW" w:bidi="zh-TW"/>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2OWMxMWI4YmJjOTU0MWIwN2JmYjFmYTVhYzRlNjgifQ=="/>
  </w:docVars>
  <w:rsids>
    <w:rsidRoot w:val="0065120B"/>
    <w:rsid w:val="00013349"/>
    <w:rsid w:val="00037027"/>
    <w:rsid w:val="000A08A9"/>
    <w:rsid w:val="000E3A43"/>
    <w:rsid w:val="00190833"/>
    <w:rsid w:val="00200851"/>
    <w:rsid w:val="002C4D41"/>
    <w:rsid w:val="003041A8"/>
    <w:rsid w:val="004315BE"/>
    <w:rsid w:val="00457048"/>
    <w:rsid w:val="00474CEC"/>
    <w:rsid w:val="004C105A"/>
    <w:rsid w:val="00501BD5"/>
    <w:rsid w:val="00521FD8"/>
    <w:rsid w:val="005638CC"/>
    <w:rsid w:val="005816CB"/>
    <w:rsid w:val="00613272"/>
    <w:rsid w:val="0065120B"/>
    <w:rsid w:val="007360D9"/>
    <w:rsid w:val="00777A36"/>
    <w:rsid w:val="007913CF"/>
    <w:rsid w:val="009111B5"/>
    <w:rsid w:val="0096030E"/>
    <w:rsid w:val="00964580"/>
    <w:rsid w:val="00A60B4B"/>
    <w:rsid w:val="00B04E04"/>
    <w:rsid w:val="00B04F2B"/>
    <w:rsid w:val="00B41603"/>
    <w:rsid w:val="00BA4B75"/>
    <w:rsid w:val="00BD3454"/>
    <w:rsid w:val="00CA2870"/>
    <w:rsid w:val="00D15118"/>
    <w:rsid w:val="00DA125D"/>
    <w:rsid w:val="00DF5FC6"/>
    <w:rsid w:val="00ED7E30"/>
    <w:rsid w:val="04ED3B95"/>
    <w:rsid w:val="05CF7BC3"/>
    <w:rsid w:val="09B25818"/>
    <w:rsid w:val="148E5B67"/>
    <w:rsid w:val="19603AF3"/>
    <w:rsid w:val="1E07078A"/>
    <w:rsid w:val="207C5C41"/>
    <w:rsid w:val="2A5742EC"/>
    <w:rsid w:val="2AD532A3"/>
    <w:rsid w:val="2B653374"/>
    <w:rsid w:val="2D101A38"/>
    <w:rsid w:val="2F6B1A90"/>
    <w:rsid w:val="34234796"/>
    <w:rsid w:val="36C230FC"/>
    <w:rsid w:val="38B97D23"/>
    <w:rsid w:val="3B1A0A8F"/>
    <w:rsid w:val="3DF74CE7"/>
    <w:rsid w:val="414139EA"/>
    <w:rsid w:val="44BA2A48"/>
    <w:rsid w:val="4AFC4535"/>
    <w:rsid w:val="4DA85CBB"/>
    <w:rsid w:val="4E0B5C53"/>
    <w:rsid w:val="51FF1CD2"/>
    <w:rsid w:val="524D4805"/>
    <w:rsid w:val="56AE090E"/>
    <w:rsid w:val="58DC5BEC"/>
    <w:rsid w:val="5D380AA0"/>
    <w:rsid w:val="5D757C05"/>
    <w:rsid w:val="623A585E"/>
    <w:rsid w:val="63A456C4"/>
    <w:rsid w:val="643161EE"/>
    <w:rsid w:val="643A74A6"/>
    <w:rsid w:val="65816CB9"/>
    <w:rsid w:val="6C1C3371"/>
    <w:rsid w:val="70457819"/>
    <w:rsid w:val="724613B3"/>
    <w:rsid w:val="730B6F41"/>
    <w:rsid w:val="73AA37BA"/>
    <w:rsid w:val="73AF288C"/>
    <w:rsid w:val="743F3C1B"/>
    <w:rsid w:val="7717539F"/>
    <w:rsid w:val="7A6C6764"/>
    <w:rsid w:val="7D4E0B54"/>
    <w:rsid w:val="7E230F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7">
    <w:name w:val="页眉 Char"/>
    <w:basedOn w:val="6"/>
    <w:link w:val="3"/>
    <w:autoRedefine/>
    <w:semiHidden/>
    <w:qFormat/>
    <w:uiPriority w:val="99"/>
    <w:rPr>
      <w:sz w:val="18"/>
      <w:szCs w:val="18"/>
    </w:rPr>
  </w:style>
  <w:style w:type="character" w:customStyle="1" w:styleId="8">
    <w:name w:val="页脚 Char"/>
    <w:basedOn w:val="6"/>
    <w:link w:val="2"/>
    <w:autoRedefine/>
    <w:semiHidden/>
    <w:qFormat/>
    <w:uiPriority w:val="99"/>
    <w:rPr>
      <w:sz w:val="18"/>
      <w:szCs w:val="18"/>
    </w:rPr>
  </w:style>
  <w:style w:type="character" w:customStyle="1" w:styleId="9">
    <w:name w:val="Heading #3|1_"/>
    <w:basedOn w:val="6"/>
    <w:link w:val="10"/>
    <w:qFormat/>
    <w:uiPriority w:val="0"/>
    <w:rPr>
      <w:rFonts w:ascii="宋体" w:hAnsi="宋体" w:eastAsia="宋体" w:cs="宋体"/>
      <w:sz w:val="36"/>
      <w:szCs w:val="36"/>
      <w:lang w:val="zh-TW" w:eastAsia="zh-TW" w:bidi="zh-TW"/>
    </w:rPr>
  </w:style>
  <w:style w:type="paragraph" w:customStyle="1" w:styleId="10">
    <w:name w:val="Heading #3|1"/>
    <w:basedOn w:val="1"/>
    <w:link w:val="9"/>
    <w:autoRedefine/>
    <w:qFormat/>
    <w:uiPriority w:val="0"/>
    <w:pPr>
      <w:spacing w:after="350"/>
      <w:jc w:val="center"/>
      <w:outlineLvl w:val="2"/>
    </w:pPr>
    <w:rPr>
      <w:rFonts w:ascii="宋体" w:hAnsi="宋体" w:eastAsia="宋体" w:cs="宋体"/>
      <w:sz w:val="36"/>
      <w:szCs w:val="36"/>
      <w:lang w:val="zh-TW" w:eastAsia="zh-TW" w:bidi="zh-TW"/>
    </w:rPr>
  </w:style>
  <w:style w:type="paragraph" w:customStyle="1" w:styleId="11">
    <w:name w:val="Other|1"/>
    <w:basedOn w:val="1"/>
    <w:qFormat/>
    <w:uiPriority w:val="0"/>
    <w:pPr>
      <w:spacing w:line="420" w:lineRule="auto"/>
      <w:ind w:firstLine="400"/>
      <w:jc w:val="left"/>
    </w:pPr>
    <w:rPr>
      <w:rFonts w:ascii="宋体" w:hAnsi="宋体" w:eastAsia="宋体" w:cs="宋体"/>
      <w:color w:val="000000"/>
      <w:kern w:val="0"/>
      <w:sz w:val="30"/>
      <w:szCs w:val="30"/>
    </w:rPr>
  </w:style>
  <w:style w:type="paragraph" w:customStyle="1" w:styleId="12">
    <w:name w:val="Body text|2"/>
    <w:basedOn w:val="1"/>
    <w:qFormat/>
    <w:uiPriority w:val="0"/>
    <w:pPr>
      <w:spacing w:line="259" w:lineRule="exact"/>
      <w:ind w:left="300" w:hanging="200"/>
    </w:pPr>
    <w:rPr>
      <w:rFonts w:ascii="宋体" w:hAnsi="宋体" w:eastAsia="宋体" w:cs="宋体"/>
      <w:sz w:val="22"/>
      <w:lang w:val="zh-TW" w:eastAsia="zh-TW" w:bidi="zh-TW"/>
    </w:rPr>
  </w:style>
  <w:style w:type="paragraph" w:customStyle="1" w:styleId="13">
    <w:name w:val="Header or footer|2"/>
    <w:basedOn w:val="1"/>
    <w:qFormat/>
    <w:uiPriority w:val="0"/>
    <w:rPr>
      <w:sz w:val="20"/>
      <w:szCs w:val="20"/>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宜州元成信息科技有限公司</Company>
  <Pages>7</Pages>
  <Words>2202</Words>
  <Characters>2603</Characters>
  <Lines>4</Lines>
  <Paragraphs>1</Paragraphs>
  <TotalTime>4</TotalTime>
  <ScaleCrop>false</ScaleCrop>
  <LinksUpToDate>false</LinksUpToDate>
  <CharactersWithSpaces>2786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2021-04-10T11:25:00Z</dcterms:created>
  <dc:creator>宜州元成信息科技有限公司</dc:creator>
  <cp:lastModifiedBy>茉莉花</cp:lastModifiedBy>
  <cp:lastPrinted>2021-05-08T01:32:00Z</cp:lastPrinted>
  <dcterms:modified xsi:type="dcterms:W3CDTF">2026-04-03T07:18:30Z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2DD63662480848D2A569DA3EDBB838C4_13</vt:lpwstr>
  </property>
  <property fmtid="{D5CDD505-2E9C-101B-9397-08002B2CF9AE}" pid="4" name="KSOTemplateDocerSaveRecord">
    <vt:lpwstr>eyJoZGlkIjoiNTdlMDZhY2QyY2YwN2EzYmVkM2EwYTU2NDBlOWJlYTMiLCJ1c2VySWQiOiI0NTU2MzQ0MTEifQ==</vt:lpwstr>
  </property>
</Properties>
</file>