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460"/>
        <w:ind w:firstLine="3420" w:firstLineChars="950"/>
        <w:jc w:val="both"/>
        <w:rPr>
          <w:rFonts w:ascii="黑体" w:hAnsi="黑体" w:eastAsia="黑体" w:cs="黑体"/>
          <w:color w:val="000000"/>
        </w:rPr>
      </w:pPr>
      <w:bookmarkStart w:id="0" w:name="bookmark16"/>
      <w:bookmarkStart w:id="1" w:name="bookmark17"/>
      <w:bookmarkStart w:id="2" w:name="bookmark18"/>
      <w:r>
        <w:rPr>
          <w:rFonts w:hint="eastAsia" w:ascii="黑体" w:hAnsi="黑体" w:eastAsia="黑体" w:cs="黑体"/>
          <w:color w:val="000000"/>
        </w:rPr>
        <w:t>广西公立医疗机构</w:t>
      </w:r>
      <w:r>
        <w:rPr>
          <w:rFonts w:hint="eastAsia" w:ascii="黑体" w:hAnsi="黑体" w:eastAsia="黑体" w:cs="黑体"/>
          <w:color w:val="000000"/>
          <w:lang w:eastAsia="zh-CN"/>
        </w:rPr>
        <w:t>新增</w:t>
      </w:r>
      <w:r>
        <w:rPr>
          <w:rFonts w:hint="eastAsia" w:ascii="黑体" w:hAnsi="黑体" w:eastAsia="黑体" w:cs="黑体"/>
          <w:color w:val="000000"/>
        </w:rPr>
        <w:t>医疗服务项目价格公示表</w:t>
      </w:r>
      <w:bookmarkEnd w:id="0"/>
      <w:bookmarkEnd w:id="1"/>
      <w:bookmarkEnd w:id="2"/>
    </w:p>
    <w:p>
      <w:pPr>
        <w:pStyle w:val="10"/>
        <w:keepNext/>
        <w:keepLines/>
        <w:spacing w:after="460"/>
        <w:jc w:val="both"/>
        <w:rPr>
          <w:rFonts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公示单位：河池市第一人民医院</w:t>
      </w:r>
      <w:r>
        <w:rPr>
          <w:rFonts w:hint="eastAsia" w:ascii="黑体" w:hAnsi="黑体" w:eastAsia="黑体" w:cs="黑体"/>
          <w:color w:val="000000"/>
          <w:sz w:val="24"/>
          <w:szCs w:val="24"/>
          <w:lang w:val="en-US" w:eastAsia="zh-CN"/>
        </w:rPr>
        <w:t xml:space="preserve">                                                                      单位：元</w:t>
      </w:r>
    </w:p>
    <w:tbl>
      <w:tblPr>
        <w:tblStyle w:val="5"/>
        <w:tblW w:w="15410" w:type="dxa"/>
        <w:tblInd w:w="-6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78"/>
        <w:gridCol w:w="1513"/>
        <w:gridCol w:w="4009"/>
        <w:gridCol w:w="1855"/>
        <w:gridCol w:w="683"/>
        <w:gridCol w:w="858"/>
        <w:gridCol w:w="1513"/>
        <w:gridCol w:w="941"/>
        <w:gridCol w:w="900"/>
        <w:gridCol w:w="941"/>
        <w:gridCol w:w="8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1378" w:type="dxa"/>
            <w:vMerge w:val="restart"/>
          </w:tcPr>
          <w:p>
            <w:pPr>
              <w:rPr>
                <w:rFonts w:asciiTheme="minorEastAsia" w:hAnsiTheme="minorEastAsia"/>
                <w:b/>
                <w:bCs/>
                <w:sz w:val="24"/>
                <w:szCs w:val="24"/>
              </w:rPr>
            </w:pPr>
            <w:r>
              <w:rPr>
                <w:rFonts w:hint="eastAsia" w:asciiTheme="minorEastAsia" w:hAnsiTheme="minorEastAsia"/>
                <w:b/>
                <w:bCs/>
                <w:sz w:val="24"/>
                <w:szCs w:val="24"/>
              </w:rPr>
              <w:t>项目编码</w:t>
            </w:r>
          </w:p>
          <w:p>
            <w:pPr>
              <w:rPr>
                <w:rFonts w:asciiTheme="minorEastAsia" w:hAnsiTheme="minorEastAsia"/>
                <w:b/>
                <w:bCs/>
                <w:sz w:val="24"/>
                <w:szCs w:val="24"/>
              </w:rPr>
            </w:pPr>
          </w:p>
        </w:tc>
        <w:tc>
          <w:tcPr>
            <w:tcW w:w="1513" w:type="dxa"/>
            <w:vMerge w:val="restart"/>
          </w:tcPr>
          <w:p>
            <w:pPr>
              <w:rPr>
                <w:rFonts w:asciiTheme="minorEastAsia" w:hAnsiTheme="minorEastAsia"/>
                <w:b/>
                <w:bCs/>
                <w:sz w:val="24"/>
                <w:szCs w:val="24"/>
              </w:rPr>
            </w:pPr>
            <w:r>
              <w:rPr>
                <w:rFonts w:hint="eastAsia" w:asciiTheme="minorEastAsia" w:hAnsiTheme="minorEastAsia"/>
                <w:b/>
                <w:bCs/>
                <w:sz w:val="24"/>
                <w:szCs w:val="24"/>
              </w:rPr>
              <w:t>项目名称</w:t>
            </w:r>
          </w:p>
        </w:tc>
        <w:tc>
          <w:tcPr>
            <w:tcW w:w="4009" w:type="dxa"/>
            <w:vMerge w:val="restart"/>
          </w:tcPr>
          <w:p>
            <w:pPr>
              <w:ind w:firstLine="1325" w:firstLineChars="550"/>
              <w:rPr>
                <w:rFonts w:asciiTheme="minorEastAsia" w:hAnsiTheme="minorEastAsia"/>
                <w:b/>
                <w:bCs/>
                <w:sz w:val="24"/>
                <w:szCs w:val="24"/>
                <w:lang w:eastAsia="zh-TW"/>
              </w:rPr>
            </w:pPr>
            <w:r>
              <w:rPr>
                <w:rFonts w:hint="eastAsia" w:cs="Times New Roman" w:asciiTheme="minorEastAsia" w:hAnsiTheme="minorEastAsia"/>
                <w:b/>
                <w:bCs/>
                <w:sz w:val="24"/>
                <w:szCs w:val="24"/>
              </w:rPr>
              <w:t>项目内涵</w:t>
            </w:r>
          </w:p>
        </w:tc>
        <w:tc>
          <w:tcPr>
            <w:tcW w:w="2538" w:type="dxa"/>
            <w:gridSpan w:val="2"/>
          </w:tcPr>
          <w:p>
            <w:pPr>
              <w:ind w:firstLine="482" w:firstLineChars="200"/>
              <w:rPr>
                <w:rFonts w:asciiTheme="minorEastAsia" w:hAnsiTheme="minorEastAsia"/>
                <w:b/>
                <w:bCs/>
                <w:sz w:val="24"/>
                <w:szCs w:val="24"/>
                <w:lang w:eastAsia="zh-TW"/>
              </w:rPr>
            </w:pPr>
            <w:r>
              <w:rPr>
                <w:rFonts w:hint="eastAsia" w:cs="Times New Roman" w:asciiTheme="minorEastAsia" w:hAnsiTheme="minorEastAsia"/>
                <w:b/>
                <w:bCs/>
                <w:sz w:val="24"/>
                <w:szCs w:val="24"/>
              </w:rPr>
              <w:t>除外内容</w:t>
            </w:r>
          </w:p>
        </w:tc>
        <w:tc>
          <w:tcPr>
            <w:tcW w:w="858" w:type="dxa"/>
            <w:vMerge w:val="restart"/>
          </w:tcPr>
          <w:p>
            <w:pPr>
              <w:rPr>
                <w:rFonts w:asciiTheme="minorEastAsia" w:hAnsiTheme="minorEastAsia"/>
                <w:b/>
                <w:bCs/>
                <w:sz w:val="24"/>
                <w:szCs w:val="24"/>
                <w:lang w:eastAsia="zh-TW"/>
              </w:rPr>
            </w:pPr>
            <w:r>
              <w:rPr>
                <w:rFonts w:hint="eastAsia" w:cs="Times New Roman" w:asciiTheme="minorEastAsia" w:hAnsiTheme="minorEastAsia"/>
                <w:b/>
                <w:bCs/>
                <w:sz w:val="24"/>
                <w:szCs w:val="24"/>
              </w:rPr>
              <w:t>计价单位</w:t>
            </w:r>
          </w:p>
        </w:tc>
        <w:tc>
          <w:tcPr>
            <w:tcW w:w="1513" w:type="dxa"/>
            <w:vMerge w:val="restart"/>
          </w:tcPr>
          <w:p>
            <w:pPr>
              <w:rPr>
                <w:rFonts w:asciiTheme="minorEastAsia" w:hAnsiTheme="minorEastAsia"/>
                <w:b/>
                <w:bCs/>
                <w:sz w:val="24"/>
                <w:szCs w:val="24"/>
                <w:lang w:eastAsia="zh-TW"/>
              </w:rPr>
            </w:pPr>
            <w:r>
              <w:rPr>
                <w:rFonts w:hint="eastAsia" w:cs="Times New Roman" w:asciiTheme="minorEastAsia" w:hAnsiTheme="minorEastAsia"/>
                <w:b/>
                <w:bCs/>
                <w:sz w:val="24"/>
                <w:szCs w:val="24"/>
              </w:rPr>
              <w:t>计价说明</w:t>
            </w:r>
          </w:p>
        </w:tc>
        <w:tc>
          <w:tcPr>
            <w:tcW w:w="941" w:type="dxa"/>
            <w:vMerge w:val="restart"/>
          </w:tcPr>
          <w:p>
            <w:pPr>
              <w:rPr>
                <w:rFonts w:asciiTheme="minorEastAsia" w:hAnsiTheme="minorEastAsia"/>
                <w:b/>
                <w:bCs/>
                <w:sz w:val="24"/>
                <w:szCs w:val="24"/>
                <w:lang w:eastAsia="zh-TW"/>
              </w:rPr>
            </w:pPr>
            <w:r>
              <w:rPr>
                <w:rFonts w:hint="eastAsia" w:cs="Times New Roman" w:asciiTheme="minorEastAsia" w:hAnsiTheme="minorEastAsia"/>
                <w:b/>
                <w:bCs/>
                <w:sz w:val="24"/>
                <w:szCs w:val="24"/>
              </w:rPr>
              <w:t>医院制定价格（</w:t>
            </w:r>
            <w:r>
              <w:rPr>
                <w:rFonts w:hint="eastAsia" w:cs="Times New Roman" w:asciiTheme="minorEastAsia" w:hAnsiTheme="minorEastAsia"/>
                <w:b/>
                <w:bCs/>
                <w:sz w:val="24"/>
                <w:szCs w:val="24"/>
                <w:lang w:eastAsia="zh-CN"/>
              </w:rPr>
              <w:t>不</w:t>
            </w:r>
            <w:r>
              <w:rPr>
                <w:rFonts w:hint="eastAsia" w:cs="Times New Roman" w:asciiTheme="minorEastAsia" w:hAnsiTheme="minorEastAsia"/>
                <w:b/>
                <w:bCs/>
                <w:sz w:val="24"/>
                <w:szCs w:val="24"/>
              </w:rPr>
              <w:t>含除外内容价格）</w:t>
            </w:r>
          </w:p>
        </w:tc>
        <w:tc>
          <w:tcPr>
            <w:tcW w:w="900" w:type="dxa"/>
            <w:vMerge w:val="restart"/>
          </w:tcPr>
          <w:p>
            <w:pPr>
              <w:pStyle w:val="11"/>
              <w:spacing w:line="240" w:lineRule="auto"/>
              <w:ind w:firstLine="0"/>
              <w:jc w:val="both"/>
              <w:rPr>
                <w:rFonts w:cs="Times New Roman" w:asciiTheme="minorEastAsia" w:hAnsiTheme="minorEastAsia" w:eastAsiaTheme="minorEastAsia"/>
                <w:b/>
                <w:bCs/>
                <w:sz w:val="24"/>
                <w:szCs w:val="24"/>
              </w:rPr>
            </w:pPr>
            <w:r>
              <w:rPr>
                <w:rFonts w:hint="eastAsia" w:asciiTheme="minorEastAsia" w:hAnsiTheme="minorEastAsia" w:eastAsiaTheme="minorEastAsia"/>
                <w:b/>
                <w:bCs/>
                <w:sz w:val="24"/>
                <w:szCs w:val="24"/>
              </w:rPr>
              <w:t>外省（自治区、直辖市）是否已开展（是/否</w:t>
            </w:r>
            <w:r>
              <w:rPr>
                <w:rFonts w:hint="eastAsia" w:cs="Times New Roman" w:asciiTheme="minorEastAsia" w:hAnsiTheme="minorEastAsia" w:eastAsiaTheme="minorEastAsia"/>
                <w:b/>
                <w:bCs/>
                <w:sz w:val="24"/>
                <w:szCs w:val="24"/>
              </w:rPr>
              <w:t>）</w:t>
            </w:r>
          </w:p>
        </w:tc>
        <w:tc>
          <w:tcPr>
            <w:tcW w:w="941" w:type="dxa"/>
            <w:vMerge w:val="restart"/>
          </w:tcPr>
          <w:p>
            <w:pPr>
              <w:rPr>
                <w:rFonts w:asciiTheme="minorEastAsia" w:hAnsiTheme="minorEastAsia"/>
                <w:b/>
                <w:bCs/>
                <w:sz w:val="24"/>
                <w:szCs w:val="24"/>
              </w:rPr>
            </w:pPr>
            <w:r>
              <w:rPr>
                <w:rFonts w:hint="eastAsia" w:cs="Times New Roman" w:asciiTheme="minorEastAsia" w:hAnsiTheme="minorEastAsia"/>
                <w:b/>
                <w:bCs/>
                <w:sz w:val="24"/>
                <w:szCs w:val="24"/>
              </w:rPr>
              <w:t>现行最低价格省（自治区、直辖市）</w:t>
            </w:r>
          </w:p>
        </w:tc>
        <w:tc>
          <w:tcPr>
            <w:tcW w:w="819" w:type="dxa"/>
            <w:vMerge w:val="restart"/>
          </w:tcPr>
          <w:p>
            <w:pPr>
              <w:rPr>
                <w:rFonts w:asciiTheme="minorEastAsia" w:hAnsiTheme="minorEastAsia"/>
                <w:b/>
                <w:bCs/>
                <w:sz w:val="24"/>
                <w:szCs w:val="24"/>
              </w:rPr>
            </w:pPr>
            <w:r>
              <w:rPr>
                <w:rFonts w:hint="eastAsia" w:cs="Times New Roman" w:asciiTheme="minorEastAsia" w:hAnsiTheme="minorEastAsia"/>
                <w:b/>
                <w:bCs/>
                <w:sz w:val="24"/>
                <w:szCs w:val="24"/>
              </w:rPr>
              <w:t>外省（自治区、直辖市）现行最低价格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1378" w:type="dxa"/>
            <w:vMerge w:val="continue"/>
          </w:tcPr>
          <w:p>
            <w:pPr>
              <w:spacing w:line="500" w:lineRule="exact"/>
              <w:rPr>
                <w:rFonts w:asciiTheme="minorEastAsia" w:hAnsiTheme="minorEastAsia"/>
                <w:sz w:val="24"/>
                <w:szCs w:val="24"/>
                <w:lang w:eastAsia="zh-TW"/>
              </w:rPr>
            </w:pPr>
          </w:p>
        </w:tc>
        <w:tc>
          <w:tcPr>
            <w:tcW w:w="1513" w:type="dxa"/>
            <w:vMerge w:val="continue"/>
          </w:tcPr>
          <w:p>
            <w:pPr>
              <w:spacing w:line="500" w:lineRule="exact"/>
              <w:rPr>
                <w:rFonts w:asciiTheme="minorEastAsia" w:hAnsiTheme="minorEastAsia"/>
                <w:sz w:val="24"/>
                <w:szCs w:val="24"/>
                <w:lang w:eastAsia="zh-TW"/>
              </w:rPr>
            </w:pPr>
          </w:p>
        </w:tc>
        <w:tc>
          <w:tcPr>
            <w:tcW w:w="4009" w:type="dxa"/>
            <w:vMerge w:val="continue"/>
          </w:tcPr>
          <w:p>
            <w:pPr>
              <w:spacing w:line="500" w:lineRule="exact"/>
              <w:rPr>
                <w:rFonts w:asciiTheme="minorEastAsia" w:hAnsiTheme="minorEastAsia"/>
                <w:sz w:val="24"/>
                <w:szCs w:val="24"/>
                <w:lang w:eastAsia="zh-TW"/>
              </w:rPr>
            </w:pPr>
          </w:p>
        </w:tc>
        <w:tc>
          <w:tcPr>
            <w:tcW w:w="1855" w:type="dxa"/>
          </w:tcPr>
          <w:p>
            <w:pPr>
              <w:rPr>
                <w:rFonts w:cs="Times New Roman" w:asciiTheme="minorEastAsia" w:hAnsiTheme="minorEastAsia"/>
                <w:b/>
                <w:bCs/>
                <w:sz w:val="24"/>
                <w:szCs w:val="24"/>
              </w:rPr>
            </w:pPr>
          </w:p>
          <w:p>
            <w:pPr>
              <w:rPr>
                <w:rFonts w:cs="Times New Roman" w:asciiTheme="minorEastAsia" w:hAnsiTheme="minorEastAsia"/>
                <w:b/>
                <w:bCs/>
                <w:sz w:val="24"/>
                <w:szCs w:val="24"/>
              </w:rPr>
            </w:pPr>
            <w:r>
              <w:rPr>
                <w:rFonts w:hint="eastAsia" w:cs="Times New Roman" w:asciiTheme="minorEastAsia" w:hAnsiTheme="minorEastAsia"/>
                <w:b/>
                <w:bCs/>
                <w:sz w:val="24"/>
                <w:szCs w:val="24"/>
              </w:rPr>
              <w:t>除外</w:t>
            </w:r>
          </w:p>
          <w:p>
            <w:pPr>
              <w:rPr>
                <w:rFonts w:asciiTheme="minorEastAsia" w:hAnsiTheme="minorEastAsia"/>
                <w:b/>
                <w:bCs/>
                <w:sz w:val="24"/>
                <w:szCs w:val="24"/>
                <w:lang w:eastAsia="zh-TW"/>
              </w:rPr>
            </w:pPr>
            <w:r>
              <w:rPr>
                <w:rFonts w:hint="eastAsia" w:cs="Times New Roman" w:asciiTheme="minorEastAsia" w:hAnsiTheme="minorEastAsia"/>
                <w:b/>
                <w:bCs/>
                <w:sz w:val="24"/>
                <w:szCs w:val="24"/>
              </w:rPr>
              <w:t>内容</w:t>
            </w:r>
          </w:p>
        </w:tc>
        <w:tc>
          <w:tcPr>
            <w:tcW w:w="683" w:type="dxa"/>
          </w:tcPr>
          <w:p>
            <w:pPr>
              <w:rPr>
                <w:rFonts w:cs="Times New Roman" w:asciiTheme="minorEastAsia" w:hAnsiTheme="minorEastAsia"/>
                <w:b/>
                <w:bCs/>
                <w:sz w:val="24"/>
                <w:szCs w:val="24"/>
              </w:rPr>
            </w:pPr>
          </w:p>
          <w:p>
            <w:pPr>
              <w:rPr>
                <w:rFonts w:asciiTheme="minorEastAsia" w:hAnsiTheme="minorEastAsia"/>
                <w:b/>
                <w:bCs/>
                <w:sz w:val="24"/>
                <w:szCs w:val="24"/>
                <w:lang w:eastAsia="zh-TW"/>
              </w:rPr>
            </w:pPr>
            <w:r>
              <w:rPr>
                <w:rFonts w:hint="eastAsia" w:cs="Times New Roman" w:asciiTheme="minorEastAsia" w:hAnsiTheme="minorEastAsia"/>
                <w:b/>
                <w:bCs/>
                <w:sz w:val="24"/>
                <w:szCs w:val="24"/>
              </w:rPr>
              <w:t>除外内容价格</w:t>
            </w:r>
          </w:p>
        </w:tc>
        <w:tc>
          <w:tcPr>
            <w:tcW w:w="858" w:type="dxa"/>
            <w:vMerge w:val="continue"/>
          </w:tcPr>
          <w:p>
            <w:pPr>
              <w:spacing w:line="500" w:lineRule="exact"/>
              <w:rPr>
                <w:rFonts w:asciiTheme="minorEastAsia" w:hAnsiTheme="minorEastAsia"/>
                <w:sz w:val="24"/>
                <w:szCs w:val="24"/>
                <w:lang w:eastAsia="zh-TW"/>
              </w:rPr>
            </w:pPr>
          </w:p>
        </w:tc>
        <w:tc>
          <w:tcPr>
            <w:tcW w:w="1513" w:type="dxa"/>
            <w:vMerge w:val="continue"/>
          </w:tcPr>
          <w:p>
            <w:pPr>
              <w:spacing w:line="500" w:lineRule="exact"/>
              <w:rPr>
                <w:rFonts w:asciiTheme="minorEastAsia" w:hAnsiTheme="minorEastAsia"/>
                <w:sz w:val="24"/>
                <w:szCs w:val="24"/>
                <w:lang w:eastAsia="zh-TW"/>
              </w:rPr>
            </w:pPr>
          </w:p>
        </w:tc>
        <w:tc>
          <w:tcPr>
            <w:tcW w:w="941" w:type="dxa"/>
            <w:vMerge w:val="continue"/>
          </w:tcPr>
          <w:p>
            <w:pPr>
              <w:pStyle w:val="11"/>
              <w:spacing w:line="500" w:lineRule="exact"/>
              <w:ind w:firstLine="0"/>
              <w:jc w:val="both"/>
              <w:rPr>
                <w:rFonts w:cs="Times New Roman" w:asciiTheme="minorEastAsia" w:hAnsiTheme="minorEastAsia" w:eastAsiaTheme="minorEastAsia"/>
                <w:sz w:val="24"/>
                <w:szCs w:val="24"/>
              </w:rPr>
            </w:pPr>
          </w:p>
        </w:tc>
        <w:tc>
          <w:tcPr>
            <w:tcW w:w="900" w:type="dxa"/>
            <w:vMerge w:val="continue"/>
          </w:tcPr>
          <w:p>
            <w:pPr>
              <w:spacing w:line="500" w:lineRule="exact"/>
              <w:rPr>
                <w:rFonts w:asciiTheme="minorEastAsia" w:hAnsiTheme="minorEastAsia"/>
                <w:sz w:val="24"/>
                <w:szCs w:val="24"/>
                <w:lang w:eastAsia="zh-TW"/>
              </w:rPr>
            </w:pPr>
          </w:p>
        </w:tc>
        <w:tc>
          <w:tcPr>
            <w:tcW w:w="941" w:type="dxa"/>
            <w:vMerge w:val="continue"/>
          </w:tcPr>
          <w:p>
            <w:pPr>
              <w:spacing w:line="500" w:lineRule="exact"/>
              <w:rPr>
                <w:rFonts w:asciiTheme="minorEastAsia" w:hAnsiTheme="minorEastAsia"/>
                <w:sz w:val="24"/>
                <w:szCs w:val="24"/>
                <w:lang w:eastAsia="zh-TW"/>
              </w:rPr>
            </w:pPr>
          </w:p>
        </w:tc>
        <w:tc>
          <w:tcPr>
            <w:tcW w:w="819" w:type="dxa"/>
            <w:vMerge w:val="continue"/>
          </w:tcPr>
          <w:p>
            <w:pPr>
              <w:spacing w:line="500" w:lineRule="exact"/>
              <w:rPr>
                <w:rFonts w:asciiTheme="minorEastAsia" w:hAnsiTheme="minorEastAsia"/>
                <w:sz w:val="24"/>
                <w:szCs w:val="24"/>
                <w:lang w:eastAsia="zh-T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1378" w:type="dxa"/>
          </w:tcPr>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003114000640000-L311400058</w:t>
            </w:r>
          </w:p>
          <w:p>
            <w:pPr>
              <w:spacing w:line="500" w:lineRule="exact"/>
              <w:rPr>
                <w:rFonts w:hint="eastAsia" w:ascii="宋体" w:hAnsi="宋体" w:eastAsia="宋体" w:cs="宋体"/>
                <w:sz w:val="21"/>
                <w:szCs w:val="21"/>
                <w:lang w:eastAsia="zh-TW"/>
              </w:rPr>
            </w:pPr>
          </w:p>
        </w:tc>
        <w:tc>
          <w:tcPr>
            <w:tcW w:w="1513" w:type="dxa"/>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化学换肤术</w:t>
            </w:r>
          </w:p>
        </w:tc>
        <w:tc>
          <w:tcPr>
            <w:tcW w:w="4009" w:type="dxa"/>
          </w:tcPr>
          <w:p>
            <w:pPr>
              <w:tabs>
                <w:tab w:val="left" w:pos="943"/>
              </w:tabs>
              <w:ind w:firstLine="420" w:firstLineChars="200"/>
              <w:rPr>
                <w:rFonts w:hint="eastAsia" w:ascii="宋体" w:hAnsi="宋体" w:eastAsia="宋体" w:cs="宋体"/>
                <w:sz w:val="21"/>
                <w:szCs w:val="21"/>
                <w:lang w:eastAsia="zh-TW"/>
              </w:rPr>
            </w:pPr>
            <w:r>
              <w:rPr>
                <w:rFonts w:hint="eastAsia" w:ascii="宋体" w:hAnsi="宋体" w:eastAsia="宋体" w:cs="宋体"/>
                <w:sz w:val="21"/>
                <w:szCs w:val="21"/>
                <w:lang w:eastAsia="zh-TW"/>
              </w:rPr>
              <w:t>化学剥脱术又称化学换肤术，是通过化学物质作用于皮肤表层引起皮肤不同水平的可控损伤，从而诱导皮肤表皮和真皮结构重建，起到治疗作用。</w:t>
            </w:r>
          </w:p>
        </w:tc>
        <w:tc>
          <w:tcPr>
            <w:tcW w:w="1855" w:type="dxa"/>
          </w:tcPr>
          <w:p>
            <w:pPr>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果酸、水杨酸及复合酸等药物</w:t>
            </w:r>
          </w:p>
        </w:tc>
        <w:tc>
          <w:tcPr>
            <w:tcW w:w="683" w:type="dxa"/>
          </w:tcPr>
          <w:p>
            <w:pPr>
              <w:rPr>
                <w:rFonts w:hint="eastAsia" w:ascii="宋体" w:hAnsi="宋体" w:eastAsia="宋体" w:cs="宋体"/>
                <w:sz w:val="21"/>
                <w:szCs w:val="21"/>
              </w:rPr>
            </w:pPr>
          </w:p>
        </w:tc>
        <w:tc>
          <w:tcPr>
            <w:tcW w:w="858" w:type="dxa"/>
          </w:tcPr>
          <w:p>
            <w:pPr>
              <w:spacing w:line="500" w:lineRule="exact"/>
              <w:rPr>
                <w:rFonts w:hint="eastAsia" w:ascii="宋体" w:hAnsi="宋体" w:eastAsia="宋体" w:cs="宋体"/>
                <w:sz w:val="21"/>
                <w:szCs w:val="21"/>
              </w:rPr>
            </w:pPr>
            <w:r>
              <w:rPr>
                <w:rFonts w:hint="eastAsia" w:ascii="宋体" w:hAnsi="宋体" w:eastAsia="宋体" w:cs="宋体"/>
                <w:sz w:val="21"/>
                <w:szCs w:val="21"/>
              </w:rPr>
              <w:t>50cm2</w:t>
            </w:r>
          </w:p>
        </w:tc>
        <w:tc>
          <w:tcPr>
            <w:tcW w:w="1513" w:type="dxa"/>
          </w:tcPr>
          <w:p>
            <w:pPr>
              <w:rPr>
                <w:rFonts w:hint="eastAsia" w:ascii="宋体" w:hAnsi="宋体" w:eastAsia="宋体" w:cs="宋体"/>
                <w:sz w:val="21"/>
                <w:szCs w:val="21"/>
              </w:rPr>
            </w:pPr>
            <w:r>
              <w:rPr>
                <w:rFonts w:hint="eastAsia" w:ascii="宋体" w:hAnsi="宋体" w:eastAsia="宋体" w:cs="宋体"/>
                <w:sz w:val="21"/>
                <w:szCs w:val="21"/>
              </w:rPr>
              <w:t>每50cm2收费370元，不足50cm按50cm2计价</w:t>
            </w:r>
          </w:p>
        </w:tc>
        <w:tc>
          <w:tcPr>
            <w:tcW w:w="941" w:type="dxa"/>
          </w:tcPr>
          <w:p>
            <w:pPr>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val="en-US" w:eastAsia="zh-CN"/>
              </w:rPr>
              <w:t>370元</w:t>
            </w:r>
          </w:p>
        </w:tc>
        <w:tc>
          <w:tcPr>
            <w:tcW w:w="900" w:type="dxa"/>
          </w:tcPr>
          <w:p>
            <w:pPr>
              <w:rPr>
                <w:rFonts w:hint="eastAsia" w:ascii="宋体" w:hAnsi="宋体" w:eastAsia="宋体" w:cs="宋体"/>
                <w:sz w:val="21"/>
                <w:szCs w:val="21"/>
              </w:rPr>
            </w:pPr>
            <w:r>
              <w:rPr>
                <w:rFonts w:hint="eastAsia" w:ascii="宋体" w:hAnsi="宋体" w:eastAsia="宋体" w:cs="宋体"/>
                <w:sz w:val="21"/>
                <w:szCs w:val="21"/>
              </w:rPr>
              <w:t>是</w:t>
            </w:r>
          </w:p>
        </w:tc>
        <w:tc>
          <w:tcPr>
            <w:tcW w:w="941" w:type="dxa"/>
          </w:tcPr>
          <w:p>
            <w:pPr>
              <w:rPr>
                <w:rFonts w:hint="eastAsia" w:ascii="宋体" w:hAnsi="宋体" w:eastAsia="宋体" w:cs="宋体"/>
                <w:sz w:val="21"/>
                <w:szCs w:val="21"/>
              </w:rPr>
            </w:pPr>
          </w:p>
        </w:tc>
        <w:tc>
          <w:tcPr>
            <w:tcW w:w="819" w:type="dxa"/>
          </w:tcPr>
          <w:p>
            <w:pPr>
              <w:rPr>
                <w:rFonts w:hint="eastAsia" w:ascii="宋体" w:hAnsi="宋体" w:eastAsia="宋体" w:cs="宋体"/>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1378" w:type="dxa"/>
            <w:vAlign w:val="top"/>
          </w:tcPr>
          <w:p>
            <w:pPr>
              <w:spacing w:line="240" w:lineRule="auto"/>
              <w:rPr>
                <w:rFonts w:hint="eastAsia" w:ascii="宋体" w:hAnsi="宋体" w:eastAsia="宋体" w:cs="宋体"/>
                <w:kern w:val="2"/>
                <w:sz w:val="21"/>
                <w:szCs w:val="21"/>
                <w:lang w:val="en-US" w:eastAsia="zh-TW" w:bidi="ar-SA"/>
              </w:rPr>
            </w:pPr>
            <w:r>
              <w:rPr>
                <w:rFonts w:hint="eastAsia" w:ascii="宋体" w:hAnsi="宋体" w:eastAsia="宋体" w:cs="宋体"/>
                <w:sz w:val="21"/>
                <w:szCs w:val="21"/>
                <w:lang w:eastAsia="zh-TW"/>
              </w:rPr>
              <w:t>003114000610000-L270800010a</w:t>
            </w:r>
          </w:p>
        </w:tc>
        <w:tc>
          <w:tcPr>
            <w:tcW w:w="1513" w:type="dxa"/>
            <w:vAlign w:val="top"/>
          </w:tcPr>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皮肤镜检测诊断</w:t>
            </w:r>
          </w:p>
          <w:p>
            <w:pPr>
              <w:spacing w:line="240" w:lineRule="auto"/>
              <w:rPr>
                <w:rFonts w:hint="eastAsia" w:ascii="宋体" w:hAnsi="宋体" w:eastAsia="宋体" w:cs="宋体"/>
                <w:kern w:val="2"/>
                <w:sz w:val="21"/>
                <w:szCs w:val="21"/>
                <w:lang w:val="en-US" w:eastAsia="zh-TW" w:bidi="ar-SA"/>
              </w:rPr>
            </w:pPr>
          </w:p>
        </w:tc>
        <w:tc>
          <w:tcPr>
            <w:tcW w:w="4009" w:type="dxa"/>
            <w:vAlign w:val="top"/>
          </w:tcPr>
          <w:p>
            <w:pPr>
              <w:tabs>
                <w:tab w:val="left" w:pos="943"/>
              </w:tabs>
              <w:spacing w:line="240" w:lineRule="auto"/>
              <w:ind w:firstLine="420" w:firstLineChars="200"/>
              <w:rPr>
                <w:rFonts w:hint="eastAsia" w:ascii="宋体" w:hAnsi="宋体" w:eastAsia="宋体" w:cs="宋体"/>
                <w:kern w:val="2"/>
                <w:sz w:val="21"/>
                <w:szCs w:val="21"/>
                <w:lang w:val="en-US" w:eastAsia="zh-TW" w:bidi="ar-SA"/>
              </w:rPr>
            </w:pPr>
            <w:r>
              <w:rPr>
                <w:rFonts w:hint="eastAsia" w:ascii="宋体" w:hAnsi="宋体" w:eastAsia="宋体" w:cs="宋体"/>
                <w:sz w:val="21"/>
                <w:szCs w:val="21"/>
                <w:lang w:eastAsia="zh-TW"/>
              </w:rPr>
              <w:t>选取不同的皮肤镜镜头以不同距离子皮损微距摄影，应用皮肤镜所带的软件就皮损色泽、边界、形态进行量化分析，出具检测报告。</w:t>
            </w:r>
          </w:p>
        </w:tc>
        <w:tc>
          <w:tcPr>
            <w:tcW w:w="1855" w:type="dxa"/>
            <w:vAlign w:val="top"/>
          </w:tcPr>
          <w:p>
            <w:pPr>
              <w:spacing w:line="240" w:lineRule="auto"/>
              <w:rPr>
                <w:rFonts w:hint="eastAsia" w:ascii="宋体" w:hAnsi="宋体" w:eastAsia="宋体" w:cs="宋体"/>
                <w:kern w:val="2"/>
                <w:sz w:val="21"/>
                <w:szCs w:val="21"/>
                <w:lang w:val="en-US" w:eastAsia="zh-CN" w:bidi="ar-SA"/>
              </w:rPr>
            </w:pPr>
          </w:p>
        </w:tc>
        <w:tc>
          <w:tcPr>
            <w:tcW w:w="683" w:type="dxa"/>
            <w:vAlign w:val="top"/>
          </w:tcPr>
          <w:p>
            <w:pPr>
              <w:spacing w:line="240" w:lineRule="auto"/>
              <w:rPr>
                <w:rFonts w:hint="eastAsia" w:ascii="宋体" w:hAnsi="宋体" w:eastAsia="宋体" w:cs="宋体"/>
                <w:kern w:val="2"/>
                <w:sz w:val="21"/>
                <w:szCs w:val="21"/>
                <w:lang w:val="en-US" w:eastAsia="zh-CN" w:bidi="ar-SA"/>
              </w:rPr>
            </w:pPr>
          </w:p>
        </w:tc>
        <w:tc>
          <w:tcPr>
            <w:tcW w:w="858"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每部位</w:t>
            </w:r>
            <w:r>
              <w:rPr>
                <w:rFonts w:hint="eastAsia" w:ascii="宋体" w:hAnsi="宋体" w:eastAsia="宋体" w:cs="宋体"/>
                <w:sz w:val="21"/>
                <w:szCs w:val="21"/>
                <w:lang w:eastAsia="zh-CN"/>
              </w:rPr>
              <w:t>，面积</w:t>
            </w:r>
            <w:r>
              <w:rPr>
                <w:rFonts w:hint="eastAsia" w:ascii="宋体" w:hAnsi="宋体" w:eastAsia="宋体" w:cs="宋体"/>
                <w:sz w:val="21"/>
                <w:szCs w:val="21"/>
                <w:lang w:val="en-US" w:eastAsia="zh-CN"/>
              </w:rPr>
              <w:t>1.2㎝2以下</w:t>
            </w:r>
          </w:p>
        </w:tc>
        <w:tc>
          <w:tcPr>
            <w:tcW w:w="1513" w:type="dxa"/>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同时检测一个以上部位时，每增加一个部位加收3</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pPr>
              <w:spacing w:line="240" w:lineRule="auto"/>
              <w:rPr>
                <w:rFonts w:hint="eastAsia" w:ascii="宋体" w:hAnsi="宋体" w:eastAsia="宋体" w:cs="宋体"/>
                <w:kern w:val="2"/>
                <w:sz w:val="21"/>
                <w:szCs w:val="21"/>
                <w:lang w:val="en-US" w:eastAsia="zh-CN" w:bidi="ar-SA"/>
              </w:rPr>
            </w:pPr>
          </w:p>
        </w:tc>
        <w:tc>
          <w:tcPr>
            <w:tcW w:w="941"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100.00元</w:t>
            </w:r>
            <w:bookmarkStart w:id="4" w:name="_GoBack"/>
            <w:bookmarkEnd w:id="4"/>
          </w:p>
        </w:tc>
        <w:tc>
          <w:tcPr>
            <w:tcW w:w="90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是</w:t>
            </w:r>
          </w:p>
        </w:tc>
        <w:tc>
          <w:tcPr>
            <w:tcW w:w="941" w:type="dxa"/>
            <w:vAlign w:val="top"/>
          </w:tcPr>
          <w:p>
            <w:pPr>
              <w:spacing w:line="240" w:lineRule="auto"/>
              <w:rPr>
                <w:rFonts w:hint="eastAsia" w:ascii="宋体" w:hAnsi="宋体" w:eastAsia="宋体" w:cs="宋体"/>
                <w:kern w:val="2"/>
                <w:sz w:val="21"/>
                <w:szCs w:val="21"/>
                <w:lang w:val="en-US" w:eastAsia="zh-CN" w:bidi="ar-SA"/>
              </w:rPr>
            </w:pPr>
          </w:p>
        </w:tc>
        <w:tc>
          <w:tcPr>
            <w:tcW w:w="819" w:type="dxa"/>
          </w:tcPr>
          <w:p>
            <w:pPr>
              <w:rPr>
                <w:rFonts w:hint="eastAsia" w:ascii="宋体" w:hAnsi="宋体" w:eastAsia="宋体" w:cs="宋体"/>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 w:hRule="atLeast"/>
        </w:trPr>
        <w:tc>
          <w:tcPr>
            <w:tcW w:w="1378" w:type="dxa"/>
          </w:tcPr>
          <w:p>
            <w:pPr>
              <w:spacing w:line="500" w:lineRule="exact"/>
              <w:rPr>
                <w:rFonts w:ascii="宋体" w:hAnsi="宋体" w:eastAsia="宋体" w:cs="宋体"/>
                <w:szCs w:val="21"/>
              </w:rPr>
            </w:pPr>
            <w:r>
              <w:rPr>
                <w:rFonts w:hint="eastAsia"/>
                <w:sz w:val="21"/>
                <w:szCs w:val="21"/>
                <w:lang w:val="en-US" w:eastAsia="zh-CN"/>
              </w:rPr>
              <w:t>453101000380000-L310100043</w:t>
            </w:r>
          </w:p>
        </w:tc>
        <w:tc>
          <w:tcPr>
            <w:tcW w:w="1513" w:type="dxa"/>
          </w:tcPr>
          <w:p>
            <w:pPr>
              <w:rPr>
                <w:rFonts w:ascii="宋体" w:hAnsi="宋体" w:eastAsia="宋体" w:cs="宋体"/>
                <w:szCs w:val="21"/>
              </w:rPr>
            </w:pPr>
            <w:r>
              <w:rPr>
                <w:rFonts w:hint="eastAsia"/>
                <w:sz w:val="21"/>
                <w:szCs w:val="21"/>
                <w:lang w:eastAsia="zh-CN"/>
              </w:rPr>
              <w:t>急性缺血性脑卒中超早期静脉溶栓治疗</w:t>
            </w:r>
          </w:p>
        </w:tc>
        <w:tc>
          <w:tcPr>
            <w:tcW w:w="4009" w:type="dxa"/>
          </w:tcPr>
          <w:p>
            <w:pPr>
              <w:tabs>
                <w:tab w:val="left" w:pos="943"/>
              </w:tabs>
              <w:ind w:firstLine="420" w:firstLineChars="200"/>
              <w:rPr>
                <w:rFonts w:ascii="宋体" w:hAnsi="宋体" w:eastAsia="宋体" w:cs="宋体"/>
                <w:szCs w:val="21"/>
              </w:rPr>
            </w:pPr>
            <w:r>
              <w:rPr>
                <w:rFonts w:hint="eastAsia"/>
                <w:color w:val="000000" w:themeColor="text1"/>
                <w:sz w:val="21"/>
                <w:szCs w:val="21"/>
                <w:lang w:eastAsia="zh-CN"/>
                <w14:textFill>
                  <w14:solidFill>
                    <w14:schemeClr w14:val="tx1"/>
                  </w14:solidFill>
                </w14:textFill>
              </w:rPr>
              <w:t>建立急诊静脉溶栓绿色通道；多学科通力协作（包括急诊科、神经内科、神经外科、放射线科、检验科、住院处、收费处、后勤、病人服务中心、急救中心等）；成立专门溶栓小组，溶栓医生24小时值班，全程陪同患者走绿色通道流程（包括神经系统检查、头部CT检查、TCD及颈动脉超声检查、心电图、急诊血液化验）；急诊收入院实施静脉溶栓治疗，24小时溶栓医生严密观察病情变化，监测各项指标，随时处理和干预；溶栓护士实施溶栓特殊监测及护理，急诊给药；溶栓前后急诊床旁行TCD及颈动脉超声检查。</w:t>
            </w:r>
          </w:p>
        </w:tc>
        <w:tc>
          <w:tcPr>
            <w:tcW w:w="1855" w:type="dxa"/>
          </w:tcPr>
          <w:p>
            <w:pPr>
              <w:rPr>
                <w:rFonts w:ascii="宋体" w:hAnsi="宋体" w:eastAsia="宋体" w:cs="宋体"/>
                <w:szCs w:val="21"/>
              </w:rPr>
            </w:pPr>
            <w:r>
              <w:rPr>
                <w:rFonts w:hint="eastAsia" w:eastAsia="宋体"/>
                <w:color w:val="000000" w:themeColor="text1"/>
                <w:sz w:val="21"/>
                <w:szCs w:val="21"/>
                <w:lang w:eastAsia="zh-CN"/>
                <w14:textFill>
                  <w14:solidFill>
                    <w14:schemeClr w14:val="tx1"/>
                  </w14:solidFill>
                </w14:textFill>
              </w:rPr>
              <w:t>检验、检查、护理，药品、耗材等费用</w:t>
            </w:r>
          </w:p>
        </w:tc>
        <w:tc>
          <w:tcPr>
            <w:tcW w:w="683" w:type="dxa"/>
          </w:tcPr>
          <w:p>
            <w:pPr>
              <w:rPr>
                <w:rFonts w:ascii="宋体" w:hAnsi="宋体" w:eastAsia="宋体" w:cs="宋体"/>
                <w:szCs w:val="21"/>
              </w:rPr>
            </w:pPr>
          </w:p>
        </w:tc>
        <w:tc>
          <w:tcPr>
            <w:tcW w:w="858" w:type="dxa"/>
          </w:tcPr>
          <w:p>
            <w:pPr>
              <w:spacing w:line="500" w:lineRule="exact"/>
              <w:rPr>
                <w:rFonts w:ascii="宋体" w:hAnsi="宋体" w:eastAsia="宋体" w:cs="宋体"/>
                <w:szCs w:val="21"/>
              </w:rPr>
            </w:pPr>
            <w:r>
              <w:rPr>
                <w:rFonts w:hint="eastAsia" w:eastAsia="宋体"/>
                <w:color w:val="000000" w:themeColor="text1"/>
                <w:sz w:val="21"/>
                <w:szCs w:val="21"/>
                <w:lang w:eastAsia="zh-CN"/>
                <w14:textFill>
                  <w14:solidFill>
                    <w14:schemeClr w14:val="tx1"/>
                  </w14:solidFill>
                </w14:textFill>
              </w:rPr>
              <w:t>次</w:t>
            </w:r>
          </w:p>
        </w:tc>
        <w:tc>
          <w:tcPr>
            <w:tcW w:w="1513" w:type="dxa"/>
          </w:tcPr>
          <w:p>
            <w:pPr>
              <w:rPr>
                <w:rFonts w:ascii="宋体" w:hAnsi="宋体" w:eastAsia="宋体" w:cs="宋体"/>
                <w:szCs w:val="21"/>
              </w:rPr>
            </w:pPr>
          </w:p>
        </w:tc>
        <w:tc>
          <w:tcPr>
            <w:tcW w:w="941" w:type="dxa"/>
          </w:tcPr>
          <w:p>
            <w:pPr>
              <w:rPr>
                <w:rFonts w:hint="default" w:ascii="宋体" w:hAnsi="宋体" w:eastAsia="宋体" w:cs="宋体"/>
                <w:szCs w:val="21"/>
                <w:lang w:val="en-US" w:eastAsia="zh-CN"/>
              </w:rPr>
            </w:pPr>
            <w:r>
              <w:rPr>
                <w:rFonts w:hint="eastAsia" w:eastAsia="宋体"/>
                <w:color w:val="000000" w:themeColor="text1"/>
                <w:sz w:val="21"/>
                <w:szCs w:val="21"/>
                <w:lang w:val="en-US" w:eastAsia="zh-CN"/>
                <w14:textFill>
                  <w14:solidFill>
                    <w14:schemeClr w14:val="tx1"/>
                  </w14:solidFill>
                </w14:textFill>
              </w:rPr>
              <w:t>600</w:t>
            </w:r>
            <w:r>
              <w:rPr>
                <w:rFonts w:hint="eastAsia" w:eastAsia="宋体"/>
                <w:color w:val="000000" w:themeColor="text1"/>
                <w:sz w:val="21"/>
                <w:szCs w:val="21"/>
                <w:lang w:eastAsia="zh-CN"/>
                <w14:textFill>
                  <w14:solidFill>
                    <w14:schemeClr w14:val="tx1"/>
                  </w14:solidFill>
                </w14:textFill>
              </w:rPr>
              <w:t>元</w:t>
            </w:r>
          </w:p>
        </w:tc>
        <w:tc>
          <w:tcPr>
            <w:tcW w:w="90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是</w:t>
            </w:r>
          </w:p>
        </w:tc>
        <w:tc>
          <w:tcPr>
            <w:tcW w:w="941" w:type="dxa"/>
            <w:vAlign w:val="top"/>
          </w:tcPr>
          <w:p>
            <w:pPr>
              <w:spacing w:line="240" w:lineRule="auto"/>
              <w:rPr>
                <w:rFonts w:hint="eastAsia" w:ascii="宋体" w:hAnsi="宋体" w:eastAsia="宋体" w:cs="宋体"/>
                <w:kern w:val="2"/>
                <w:sz w:val="21"/>
                <w:szCs w:val="21"/>
                <w:lang w:val="en-US" w:eastAsia="zh-CN" w:bidi="ar-SA"/>
              </w:rPr>
            </w:pPr>
          </w:p>
        </w:tc>
        <w:tc>
          <w:tcPr>
            <w:tcW w:w="819" w:type="dxa"/>
          </w:tcPr>
          <w:p>
            <w:pPr>
              <w:rPr>
                <w:rFonts w:hint="default" w:ascii="宋体" w:hAnsi="宋体" w:eastAsia="宋体" w:cs="宋体"/>
                <w:szCs w:val="21"/>
                <w:lang w:val="en-US" w:eastAsia="zh-CN"/>
              </w:rPr>
            </w:pPr>
          </w:p>
        </w:tc>
      </w:tr>
    </w:tbl>
    <w:p>
      <w:pPr>
        <w:pStyle w:val="12"/>
        <w:numPr>
          <w:ilvl w:val="0"/>
          <w:numId w:val="1"/>
        </w:numPr>
        <w:tabs>
          <w:tab w:val="left" w:pos="344"/>
        </w:tabs>
        <w:spacing w:line="240" w:lineRule="auto"/>
        <w:ind w:hanging="300"/>
        <w:jc w:val="left"/>
        <w:rPr>
          <w:sz w:val="24"/>
          <w:szCs w:val="24"/>
        </w:rPr>
      </w:pPr>
      <w:r>
        <w:rPr>
          <w:color w:val="000000"/>
          <w:sz w:val="24"/>
          <w:szCs w:val="24"/>
        </w:rPr>
        <w:t>本医疗机构承诺新增医疗服务项目遵照卫生健康部门关于医疗服务项目的技术规范和管理要求，以及卫生健康部门对新增医疗服务项 目涉及的试剂、耗材和设备等资质及市场准入等资格的相关规定；</w:t>
      </w:r>
    </w:p>
    <w:p>
      <w:pPr>
        <w:pStyle w:val="12"/>
        <w:numPr>
          <w:ilvl w:val="0"/>
          <w:numId w:val="1"/>
        </w:numPr>
        <w:tabs>
          <w:tab w:val="left" w:pos="344"/>
        </w:tabs>
        <w:spacing w:line="240" w:lineRule="auto"/>
        <w:ind w:left="0" w:firstLine="0"/>
        <w:jc w:val="left"/>
        <w:rPr>
          <w:sz w:val="24"/>
          <w:szCs w:val="24"/>
        </w:rPr>
      </w:pPr>
      <w:r>
        <w:rPr>
          <w:color w:val="000000"/>
          <w:sz w:val="24"/>
          <w:szCs w:val="24"/>
        </w:rPr>
        <w:t>本医疗机构承诺开展的新增医疗服务项目价格不高于外省（自治区、直辖市）该项目的现行最低价格。</w:t>
      </w:r>
    </w:p>
    <w:p>
      <w:pPr>
        <w:pStyle w:val="12"/>
        <w:tabs>
          <w:tab w:val="left" w:pos="4032"/>
          <w:tab w:val="left" w:pos="9230"/>
        </w:tabs>
        <w:spacing w:after="540" w:line="240" w:lineRule="auto"/>
        <w:ind w:left="0" w:firstLine="0"/>
        <w:jc w:val="left"/>
        <w:rPr>
          <w:sz w:val="24"/>
          <w:szCs w:val="24"/>
        </w:rPr>
        <w:sectPr>
          <w:footerReference r:id="rId3" w:type="default"/>
          <w:footerReference r:id="rId4" w:type="even"/>
          <w:pgSz w:w="16840" w:h="11900" w:orient="landscape"/>
          <w:pgMar w:top="1043" w:right="1332" w:bottom="1145" w:left="1346" w:header="1128" w:footer="3" w:gutter="0"/>
          <w:cols w:space="720" w:num="1"/>
          <w:docGrid w:linePitch="360" w:charSpace="0"/>
        </w:sectPr>
      </w:pPr>
      <w:bookmarkStart w:id="3" w:name="bookmark20"/>
      <w:bookmarkEnd w:id="3"/>
      <w:r>
        <w:rPr>
          <w:color w:val="000000"/>
          <w:sz w:val="24"/>
          <w:szCs w:val="24"/>
        </w:rPr>
        <w:t>公示时间：</w:t>
      </w:r>
      <w:r>
        <w:rPr>
          <w:rFonts w:hint="eastAsia"/>
          <w:color w:val="000000"/>
          <w:sz w:val="24"/>
          <w:szCs w:val="24"/>
          <w:lang w:val="en-US" w:eastAsia="zh-CN"/>
        </w:rPr>
        <w:t xml:space="preserve">  2023 年 2 月 27 日至2023 年 3 月 26 日            </w:t>
      </w:r>
      <w:r>
        <w:rPr>
          <w:color w:val="000000"/>
          <w:sz w:val="24"/>
          <w:szCs w:val="24"/>
        </w:rPr>
        <w:t>公示单位电话：</w:t>
      </w:r>
      <w:r>
        <w:rPr>
          <w:rFonts w:hint="eastAsia"/>
          <w:color w:val="000000"/>
          <w:sz w:val="24"/>
          <w:szCs w:val="24"/>
          <w:lang w:val="en-US" w:eastAsia="zh-CN"/>
        </w:rPr>
        <w:t>0778-3213874</w:t>
      </w:r>
      <w:r>
        <w:rPr>
          <w:color w:val="000000"/>
          <w:sz w:val="24"/>
          <w:szCs w:val="24"/>
        </w:rPr>
        <w:tab/>
      </w:r>
      <w:r>
        <w:rPr>
          <w:color w:val="000000"/>
          <w:sz w:val="24"/>
          <w:szCs w:val="24"/>
        </w:rPr>
        <w:t>监督电话：</w:t>
      </w:r>
      <w:r>
        <w:rPr>
          <w:rFonts w:ascii="Times New Roman" w:hAnsi="Times New Roman" w:eastAsia="Times New Roman" w:cs="Times New Roman"/>
          <w:color w:val="000000"/>
          <w:sz w:val="24"/>
          <w:szCs w:val="24"/>
        </w:rPr>
        <w:t>12315</w:t>
      </w:r>
    </w:p>
    <w:p>
      <w:pPr>
        <w:spacing w:line="500" w:lineRule="exact"/>
        <w:rPr>
          <w:rFonts w:asciiTheme="minorEastAsia" w:hAnsiTheme="minorEastAsia"/>
          <w:szCs w:val="21"/>
          <w:lang w:eastAsia="zh-TW"/>
        </w:rPr>
      </w:pPr>
    </w:p>
    <w:p>
      <w:pPr>
        <w:spacing w:line="500" w:lineRule="exact"/>
        <w:rPr>
          <w:rFonts w:asciiTheme="minorEastAsia" w:hAnsiTheme="minorEastAsia"/>
          <w:szCs w:val="21"/>
          <w:lang w:eastAsia="zh-TW"/>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9600565</wp:posOffset>
              </wp:positionH>
              <wp:positionV relativeFrom="page">
                <wp:posOffset>6543040</wp:posOffset>
              </wp:positionV>
              <wp:extent cx="68580" cy="123190"/>
              <wp:effectExtent l="0" t="0" r="0" b="0"/>
              <wp:wrapNone/>
              <wp:docPr id="7" name="Shape 7"/>
              <wp:cNvGraphicFramePr/>
              <a:graphic xmlns:a="http://schemas.openxmlformats.org/drawingml/2006/main">
                <a:graphicData uri="http://schemas.microsoft.com/office/word/2010/wordprocessingShape">
                  <wps:wsp>
                    <wps:cNvSpPr txBox="1"/>
                    <wps:spPr>
                      <a:xfrm>
                        <a:off x="0" y="0"/>
                        <a:ext cx="68580" cy="123190"/>
                      </a:xfrm>
                      <a:prstGeom prst="rect">
                        <a:avLst/>
                      </a:prstGeom>
                      <a:noFill/>
                      <a:ln>
                        <a:noFill/>
                      </a:ln>
                      <a:effectLst/>
                    </wps:spPr>
                    <wps:txbx>
                      <w:txbxContent>
                        <w:p>
                          <w:pPr>
                            <w:pStyle w:val="13"/>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z w:val="28"/>
                              <w:szCs w:val="28"/>
                            </w:rPr>
                            <w:t>1</w:t>
                          </w:r>
                          <w:r>
                            <w:rPr>
                              <w:rFonts w:ascii="Times New Roman" w:hAnsi="Times New Roman" w:eastAsia="Times New Roman" w:cs="Times New Roman"/>
                              <w:color w:val="000000"/>
                              <w:sz w:val="28"/>
                              <w:szCs w:val="28"/>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755.95pt;margin-top:515.2pt;height:9.7pt;width:5.4pt;mso-position-horizontal-relative:page;mso-position-vertical-relative:page;mso-wrap-style:none;z-index:-251657216;mso-width-relative:page;mso-height-relative:page;" filled="f" stroked="f" coordsize="21600,21600" o:gfxdata="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MnaV22QAAAA8BAAAPAAAAAAAAAAEAIAAAACIAAABkcnMvZG93bnJldi54bWxQSwEC&#10;FAAUAAAACACHTuJAt3kSgLoBAACUAwAADgAAAAAAAAABACAAAAAoAQAAZHJzL2Uyb0RvYy54bWxQ&#10;SwUGAAAAAAYABgBZAQAAVAUAAAAA&#10;">
              <v:fill on="f" focussize="0,0"/>
              <v:stroke on="f"/>
              <v:imagedata o:title=""/>
              <o:lock v:ext="edit" aspectratio="f"/>
              <v:textbox inset="0mm,0mm,0mm,0mm" style="mso-fit-shape-to-text:t;">
                <w:txbxContent>
                  <w:p>
                    <w:pPr>
                      <w:pStyle w:val="13"/>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z w:val="28"/>
                        <w:szCs w:val="28"/>
                      </w:rPr>
                      <w:t>1</w:t>
                    </w:r>
                    <w:r>
                      <w:rPr>
                        <w:rFonts w:ascii="Times New Roman" w:hAnsi="Times New Roman" w:eastAsia="Times New Roman" w:cs="Times New Roman"/>
                        <w:color w:val="00000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9600565</wp:posOffset>
              </wp:positionH>
              <wp:positionV relativeFrom="page">
                <wp:posOffset>6543040</wp:posOffset>
              </wp:positionV>
              <wp:extent cx="68580" cy="123190"/>
              <wp:effectExtent l="0" t="0" r="0" b="0"/>
              <wp:wrapNone/>
              <wp:docPr id="9" name="Shape 9"/>
              <wp:cNvGraphicFramePr/>
              <a:graphic xmlns:a="http://schemas.openxmlformats.org/drawingml/2006/main">
                <a:graphicData uri="http://schemas.microsoft.com/office/word/2010/wordprocessingShape">
                  <wps:wsp>
                    <wps:cNvSpPr txBox="1"/>
                    <wps:spPr>
                      <a:xfrm>
                        <a:off x="0" y="0"/>
                        <a:ext cx="68580" cy="123190"/>
                      </a:xfrm>
                      <a:prstGeom prst="rect">
                        <a:avLst/>
                      </a:prstGeom>
                      <a:noFill/>
                      <a:ln>
                        <a:noFill/>
                      </a:ln>
                      <a:effectLst/>
                    </wps:spPr>
                    <wps:txbx>
                      <w:txbxContent>
                        <w:p>
                          <w:pPr>
                            <w:pStyle w:val="13"/>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z w:val="28"/>
                              <w:szCs w:val="28"/>
                            </w:rPr>
                            <w:t>#</w:t>
                          </w:r>
                          <w:r>
                            <w:rPr>
                              <w:rFonts w:ascii="Times New Roman" w:hAnsi="Times New Roman" w:eastAsia="Times New Roman" w:cs="Times New Roman"/>
                              <w:color w:val="000000"/>
                              <w:sz w:val="28"/>
                              <w:szCs w:val="28"/>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755.95pt;margin-top:515.2pt;height:9.7pt;width:5.4pt;mso-position-horizontal-relative:page;mso-position-vertical-relative:page;mso-wrap-style:none;z-index:-251656192;mso-width-relative:page;mso-height-relative:page;" filled="f" stroked="f" coordsize="21600,21600" o:gfxdata="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ydpXbZAAAADwEAAA8AAAAAAAAAAQAgAAAAIgAAAGRycy9kb3ducmV2LnhtbFBLAQIU&#10;ABQAAAAIAIdO4kDC31+KuQEAAJQDAAAOAAAAAAAAAAEAIAAAACgBAABkcnMvZTJvRG9jLnhtbFBL&#10;BQYAAAAABgAGAFkBAABTBQAAAAA=&#10;">
              <v:fill on="f" focussize="0,0"/>
              <v:stroke on="f"/>
              <v:imagedata o:title=""/>
              <o:lock v:ext="edit" aspectratio="f"/>
              <v:textbox inset="0mm,0mm,0mm,0mm" style="mso-fit-shape-to-text:t;">
                <w:txbxContent>
                  <w:p>
                    <w:pPr>
                      <w:pStyle w:val="13"/>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z w:val="28"/>
                        <w:szCs w:val="28"/>
                      </w:rPr>
                      <w:t>#</w:t>
                    </w:r>
                    <w:r>
                      <w:rPr>
                        <w:rFonts w:ascii="Times New Roman" w:hAnsi="Times New Roman" w:eastAsia="Times New Roman" w:cs="Times New Roman"/>
                        <w:color w:val="00000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MDZhY2QyY2YwN2EzYmVkM2EwYTU2NDBlOWJlYTMifQ=="/>
  </w:docVars>
  <w:rsids>
    <w:rsidRoot w:val="0065120B"/>
    <w:rsid w:val="00013349"/>
    <w:rsid w:val="00037027"/>
    <w:rsid w:val="000A08A9"/>
    <w:rsid w:val="000E3A43"/>
    <w:rsid w:val="00190833"/>
    <w:rsid w:val="00200851"/>
    <w:rsid w:val="002C4D41"/>
    <w:rsid w:val="003041A8"/>
    <w:rsid w:val="004315BE"/>
    <w:rsid w:val="00457048"/>
    <w:rsid w:val="00474CEC"/>
    <w:rsid w:val="004C105A"/>
    <w:rsid w:val="00501BD5"/>
    <w:rsid w:val="00521FD8"/>
    <w:rsid w:val="005638CC"/>
    <w:rsid w:val="005816CB"/>
    <w:rsid w:val="00613272"/>
    <w:rsid w:val="0065120B"/>
    <w:rsid w:val="007360D9"/>
    <w:rsid w:val="00777A36"/>
    <w:rsid w:val="007913CF"/>
    <w:rsid w:val="009111B5"/>
    <w:rsid w:val="0096030E"/>
    <w:rsid w:val="00964580"/>
    <w:rsid w:val="00A60B4B"/>
    <w:rsid w:val="00B04E04"/>
    <w:rsid w:val="00B04F2B"/>
    <w:rsid w:val="00B41603"/>
    <w:rsid w:val="00BA4B75"/>
    <w:rsid w:val="00BD3454"/>
    <w:rsid w:val="00CA2870"/>
    <w:rsid w:val="00D15118"/>
    <w:rsid w:val="00DA125D"/>
    <w:rsid w:val="00DF5FC6"/>
    <w:rsid w:val="00ED7E30"/>
    <w:rsid w:val="04ED3B95"/>
    <w:rsid w:val="09B25818"/>
    <w:rsid w:val="0BF61AE7"/>
    <w:rsid w:val="0EF72B6B"/>
    <w:rsid w:val="124E521C"/>
    <w:rsid w:val="23842A67"/>
    <w:rsid w:val="26E64346"/>
    <w:rsid w:val="27EA5D3C"/>
    <w:rsid w:val="2A5742EC"/>
    <w:rsid w:val="3D812E23"/>
    <w:rsid w:val="40512FF4"/>
    <w:rsid w:val="414139EA"/>
    <w:rsid w:val="4164088A"/>
    <w:rsid w:val="4AFC4535"/>
    <w:rsid w:val="4DA85CBB"/>
    <w:rsid w:val="4E0B5C53"/>
    <w:rsid w:val="58DC5BEC"/>
    <w:rsid w:val="5D380AA0"/>
    <w:rsid w:val="63A456C4"/>
    <w:rsid w:val="643A74A6"/>
    <w:rsid w:val="65A82520"/>
    <w:rsid w:val="71804EC5"/>
    <w:rsid w:val="724613B3"/>
    <w:rsid w:val="730B6F41"/>
    <w:rsid w:val="743F3C1B"/>
    <w:rsid w:val="75C15ECA"/>
    <w:rsid w:val="7CA94083"/>
    <w:rsid w:val="7E230F9B"/>
    <w:rsid w:val="7FDF3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Heading #3|1_"/>
    <w:basedOn w:val="6"/>
    <w:link w:val="10"/>
    <w:qFormat/>
    <w:uiPriority w:val="0"/>
    <w:rPr>
      <w:rFonts w:ascii="宋体" w:hAnsi="宋体" w:eastAsia="宋体" w:cs="宋体"/>
      <w:sz w:val="36"/>
      <w:szCs w:val="36"/>
      <w:lang w:val="zh-TW" w:eastAsia="zh-TW" w:bidi="zh-TW"/>
    </w:rPr>
  </w:style>
  <w:style w:type="paragraph" w:customStyle="1" w:styleId="10">
    <w:name w:val="Heading #3|1"/>
    <w:basedOn w:val="1"/>
    <w:link w:val="9"/>
    <w:qFormat/>
    <w:uiPriority w:val="0"/>
    <w:pPr>
      <w:spacing w:after="350"/>
      <w:jc w:val="center"/>
      <w:outlineLvl w:val="2"/>
    </w:pPr>
    <w:rPr>
      <w:rFonts w:ascii="宋体" w:hAnsi="宋体" w:eastAsia="宋体" w:cs="宋体"/>
      <w:sz w:val="36"/>
      <w:szCs w:val="36"/>
      <w:lang w:val="zh-TW" w:eastAsia="zh-TW" w:bidi="zh-TW"/>
    </w:rPr>
  </w:style>
  <w:style w:type="paragraph" w:customStyle="1" w:styleId="11">
    <w:name w:val="Other|1"/>
    <w:basedOn w:val="1"/>
    <w:qFormat/>
    <w:uiPriority w:val="0"/>
    <w:pPr>
      <w:spacing w:line="420" w:lineRule="auto"/>
      <w:ind w:firstLine="400"/>
      <w:jc w:val="left"/>
    </w:pPr>
    <w:rPr>
      <w:rFonts w:ascii="宋体" w:hAnsi="宋体" w:eastAsia="宋体" w:cs="宋体"/>
      <w:color w:val="000000"/>
      <w:kern w:val="0"/>
      <w:sz w:val="30"/>
      <w:szCs w:val="30"/>
    </w:rPr>
  </w:style>
  <w:style w:type="paragraph" w:customStyle="1" w:styleId="12">
    <w:name w:val="Body text|2"/>
    <w:basedOn w:val="1"/>
    <w:qFormat/>
    <w:uiPriority w:val="0"/>
    <w:pPr>
      <w:spacing w:line="259" w:lineRule="exact"/>
      <w:ind w:left="300" w:hanging="200"/>
    </w:pPr>
    <w:rPr>
      <w:rFonts w:ascii="宋体" w:hAnsi="宋体" w:eastAsia="宋体" w:cs="宋体"/>
      <w:sz w:val="22"/>
      <w:lang w:val="zh-TW" w:eastAsia="zh-TW" w:bidi="zh-TW"/>
    </w:rPr>
  </w:style>
  <w:style w:type="paragraph" w:customStyle="1" w:styleId="13">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3</Pages>
  <Words>774</Words>
  <Characters>910</Characters>
  <Lines>4</Lines>
  <Paragraphs>1</Paragraphs>
  <TotalTime>9</TotalTime>
  <ScaleCrop>false</ScaleCrop>
  <LinksUpToDate>false</LinksUpToDate>
  <CharactersWithSpaces>1006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2021-04-10T11:25:00Z</dcterms:created>
  <dc:creator>宜州元成信息科技有限公司</dc:creator>
  <cp:lastModifiedBy>茉莉花</cp:lastModifiedBy>
  <cp:lastPrinted>2021-05-08T01:32:00Z</cp:lastPrinted>
  <dcterms:modified xsi:type="dcterms:W3CDTF">2023-03-16T08:51:29Z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1D8A32FD18FA4D778B62A7D0FC636BA6</vt:lpwstr>
  </property>
</Properties>
</file>